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81" w:rsidRPr="00D960F8" w:rsidRDefault="00860C81" w:rsidP="00860C81">
      <w:pPr>
        <w:spacing w:after="0" w:line="240" w:lineRule="auto"/>
        <w:jc w:val="center"/>
        <w:rPr>
          <w:rFonts w:ascii="Arial Black" w:hAnsi="Arial Black"/>
          <w:b/>
          <w:color w:val="2E74B5" w:themeColor="accent5" w:themeShade="BF"/>
          <w:sz w:val="40"/>
          <w:szCs w:val="40"/>
        </w:rPr>
      </w:pPr>
      <w:r w:rsidRPr="00D960F8">
        <w:rPr>
          <w:rFonts w:ascii="Arial Black" w:hAnsi="Arial Black"/>
          <w:b/>
          <w:color w:val="2E74B5" w:themeColor="accent5" w:themeShade="BF"/>
          <w:sz w:val="40"/>
          <w:szCs w:val="40"/>
        </w:rPr>
        <w:t>The Blues Program</w:t>
      </w:r>
    </w:p>
    <w:p w:rsidR="00860C81" w:rsidRDefault="00860C81" w:rsidP="00860C81">
      <w:pPr>
        <w:pBdr>
          <w:bottom w:val="single" w:sz="6" w:space="1" w:color="auto"/>
        </w:pBdr>
        <w:spacing w:after="0"/>
        <w:jc w:val="center"/>
        <w:rPr>
          <w:rFonts w:ascii="Times New Roman" w:hAnsi="Times New Roman"/>
          <w:color w:val="2E74B5" w:themeColor="accent5" w:themeShade="BF"/>
          <w:sz w:val="32"/>
          <w:szCs w:val="36"/>
        </w:rPr>
      </w:pPr>
      <w:r w:rsidRPr="00D960F8">
        <w:rPr>
          <w:rFonts w:ascii="Times New Roman" w:hAnsi="Times New Roman"/>
          <w:color w:val="2E74B5" w:themeColor="accent5" w:themeShade="BF"/>
          <w:sz w:val="32"/>
          <w:szCs w:val="36"/>
        </w:rPr>
        <w:t xml:space="preserve">Outcomes Summary for </w:t>
      </w:r>
      <w:r w:rsidR="00DD7792" w:rsidRPr="00DD7792">
        <w:rPr>
          <w:rFonts w:ascii="Times New Roman" w:hAnsi="Times New Roman"/>
          <w:color w:val="2E74B5" w:themeColor="accent5" w:themeShade="BF"/>
          <w:sz w:val="32"/>
          <w:szCs w:val="36"/>
          <w:highlight w:val="yellow"/>
        </w:rPr>
        <w:t>ENTER REPORTING PERIOD DATES</w:t>
      </w:r>
    </w:p>
    <w:p w:rsidR="00C261EF" w:rsidRPr="00C261EF" w:rsidRDefault="00C261EF">
      <w:pPr>
        <w:rPr>
          <w:rFonts w:ascii="Times New Roman" w:hAnsi="Times New Roman"/>
          <w:sz w:val="16"/>
          <w:szCs w:val="16"/>
        </w:rPr>
      </w:pPr>
    </w:p>
    <w:p w:rsidR="007E5172" w:rsidRPr="00D960F8" w:rsidRDefault="00860C81">
      <w:pPr>
        <w:rPr>
          <w:rFonts w:ascii="Times New Roman" w:hAnsi="Times New Roman"/>
          <w:sz w:val="24"/>
          <w:szCs w:val="24"/>
          <w:highlight w:val="yellow"/>
        </w:rPr>
      </w:pPr>
      <w:r w:rsidRPr="00D960F8">
        <w:rPr>
          <w:rFonts w:ascii="Times New Roman" w:hAnsi="Times New Roman"/>
          <w:sz w:val="24"/>
          <w:szCs w:val="24"/>
        </w:rPr>
        <w:t xml:space="preserve">The Pennsylvania Commission on Crime and Delinquency (PCCD) provided funds to </w:t>
      </w:r>
      <w:r w:rsidR="00DD7792">
        <w:rPr>
          <w:rFonts w:ascii="Times New Roman" w:hAnsi="Times New Roman"/>
          <w:sz w:val="24"/>
          <w:szCs w:val="24"/>
          <w:highlight w:val="yellow"/>
        </w:rPr>
        <w:t>____________</w:t>
      </w:r>
      <w:r w:rsidRPr="00D960F8">
        <w:rPr>
          <w:rFonts w:ascii="Times New Roman" w:hAnsi="Times New Roman"/>
          <w:sz w:val="24"/>
          <w:szCs w:val="24"/>
        </w:rPr>
        <w:t xml:space="preserve"> </w:t>
      </w:r>
      <w:proofErr w:type="spellStart"/>
      <w:r w:rsidRPr="00D960F8">
        <w:rPr>
          <w:rFonts w:ascii="Times New Roman" w:hAnsi="Times New Roman"/>
          <w:sz w:val="24"/>
          <w:szCs w:val="24"/>
        </w:rPr>
        <w:t>to</w:t>
      </w:r>
      <w:proofErr w:type="spellEnd"/>
      <w:r w:rsidRPr="00D960F8">
        <w:rPr>
          <w:rFonts w:ascii="Times New Roman" w:hAnsi="Times New Roman"/>
          <w:sz w:val="24"/>
          <w:szCs w:val="24"/>
        </w:rPr>
        <w:t xml:space="preserve"> implement the Blues Program across a two-year time period (</w:t>
      </w:r>
      <w:r w:rsidR="00DD7792" w:rsidRPr="00DD7792">
        <w:rPr>
          <w:rFonts w:ascii="Times New Roman" w:hAnsi="Times New Roman"/>
          <w:sz w:val="24"/>
          <w:szCs w:val="24"/>
          <w:highlight w:val="yellow"/>
        </w:rPr>
        <w:t>GRANT DATES</w:t>
      </w:r>
      <w:r w:rsidRPr="00D960F8">
        <w:rPr>
          <w:rFonts w:ascii="Times New Roman" w:hAnsi="Times New Roman"/>
          <w:sz w:val="24"/>
          <w:szCs w:val="24"/>
        </w:rPr>
        <w:t xml:space="preserve">).  This Outcome Summary represents the </w:t>
      </w:r>
      <w:r w:rsidR="00D960F8" w:rsidRPr="00D960F8">
        <w:rPr>
          <w:rFonts w:ascii="Times New Roman" w:hAnsi="Times New Roman"/>
          <w:sz w:val="24"/>
          <w:szCs w:val="24"/>
        </w:rPr>
        <w:t xml:space="preserve">initial </w:t>
      </w:r>
      <w:r w:rsidRPr="00D960F8">
        <w:rPr>
          <w:rFonts w:ascii="Times New Roman" w:hAnsi="Times New Roman"/>
          <w:sz w:val="24"/>
          <w:szCs w:val="24"/>
        </w:rPr>
        <w:t>data gathered for this project</w:t>
      </w:r>
      <w:r w:rsidRPr="00D960F8">
        <w:rPr>
          <w:noProof/>
          <w:sz w:val="24"/>
          <w:szCs w:val="24"/>
        </w:rPr>
        <mc:AlternateContent>
          <mc:Choice Requires="wpg">
            <w:drawing>
              <wp:anchor distT="0" distB="0" distL="228600" distR="228600" simplePos="0" relativeHeight="251659264" behindDoc="1" locked="0" layoutInCell="1" allowOverlap="1">
                <wp:simplePos x="0" y="0"/>
                <wp:positionH relativeFrom="margin">
                  <wp:align>left</wp:align>
                </wp:positionH>
                <wp:positionV relativeFrom="margin">
                  <wp:posOffset>641350</wp:posOffset>
                </wp:positionV>
                <wp:extent cx="1828800" cy="7536815"/>
                <wp:effectExtent l="0" t="0" r="2540" b="698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7537448"/>
                          <a:chOff x="0" y="0"/>
                          <a:chExt cx="1828800" cy="8487882"/>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679465"/>
                            <a:ext cx="1828800" cy="780841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0C81" w:rsidRPr="00DB2BC5" w:rsidRDefault="00860C81" w:rsidP="00860C81">
                              <w:pPr>
                                <w:spacing w:after="0" w:line="240" w:lineRule="auto"/>
                                <w:rPr>
                                  <w:rFonts w:ascii="Garamond" w:hAnsi="Garamond"/>
                                  <w:sz w:val="24"/>
                                  <w:szCs w:val="24"/>
                                </w:rPr>
                              </w:pPr>
                              <w:r w:rsidRPr="00DB2BC5">
                                <w:rPr>
                                  <w:rFonts w:ascii="Garamond" w:hAnsi="Garamond"/>
                                  <w:sz w:val="24"/>
                                  <w:szCs w:val="24"/>
                                </w:rPr>
                                <w:t>The Blues Program</w:t>
                              </w:r>
                              <w:r>
                                <w:rPr>
                                  <w:rFonts w:ascii="Garamond" w:hAnsi="Garamond"/>
                                  <w:sz w:val="24"/>
                                  <w:szCs w:val="24"/>
                                </w:rPr>
                                <w:t xml:space="preserve"> </w:t>
                              </w:r>
                              <w:r w:rsidRPr="00DB2BC5">
                                <w:rPr>
                                  <w:rFonts w:ascii="Garamond" w:hAnsi="Garamond"/>
                                  <w:sz w:val="24"/>
                                  <w:szCs w:val="24"/>
                                </w:rPr>
                                <w:t>is a school-based prevention program for adolescents with depressive symptoms or adolescents who are at risk of onset of major depression.  The program is delivered to groups of 4-8 adolescents, in one-hour sessions over 6 weeks with home practice assignments included.  Group sessions include: building group rapport, increasing participant involvement in pleasant activities, learning and practicing cognitive restricting techniques, and developing response plans in future life stressors</w:t>
                              </w:r>
                              <w:r>
                                <w:rPr>
                                  <w:rFonts w:ascii="Garamond" w:hAnsi="Garamond"/>
                                  <w:sz w:val="24"/>
                                  <w:szCs w:val="24"/>
                                </w:rPr>
                                <w:t>.</w:t>
                              </w:r>
                            </w:p>
                            <w:p w:rsidR="00860C81" w:rsidRDefault="00860C81" w:rsidP="00860C81">
                              <w:pPr>
                                <w:spacing w:after="0" w:line="240" w:lineRule="auto"/>
                                <w:rPr>
                                  <w:rFonts w:ascii="Garamond" w:hAnsi="Garamond"/>
                                  <w:b/>
                                  <w:sz w:val="24"/>
                                  <w:szCs w:val="24"/>
                                </w:rPr>
                              </w:pPr>
                            </w:p>
                            <w:p w:rsidR="00860C81" w:rsidRDefault="00860C81" w:rsidP="00860C81">
                              <w:pPr>
                                <w:spacing w:after="0" w:line="240" w:lineRule="auto"/>
                                <w:rPr>
                                  <w:rFonts w:ascii="Garamond" w:hAnsi="Garamond"/>
                                  <w:sz w:val="24"/>
                                </w:rPr>
                              </w:pPr>
                              <w:r w:rsidRPr="00636766">
                                <w:rPr>
                                  <w:rFonts w:ascii="Garamond" w:hAnsi="Garamond"/>
                                  <w:b/>
                                  <w:sz w:val="24"/>
                                  <w:szCs w:val="24"/>
                                </w:rPr>
                                <w:t>Targeted Risk Factor</w:t>
                              </w:r>
                              <w:r>
                                <w:rPr>
                                  <w:rFonts w:ascii="Garamond" w:hAnsi="Garamond"/>
                                  <w:b/>
                                  <w:sz w:val="24"/>
                                  <w:szCs w:val="24"/>
                                </w:rPr>
                                <w:t>s</w:t>
                              </w:r>
                              <w:r w:rsidRPr="00636766">
                                <w:rPr>
                                  <w:rFonts w:ascii="Garamond" w:hAnsi="Garamond"/>
                                  <w:b/>
                                  <w:sz w:val="24"/>
                                  <w:szCs w:val="24"/>
                                </w:rPr>
                                <w:t xml:space="preserve">:  </w:t>
                              </w:r>
                              <w:r w:rsidRPr="00B33305">
                                <w:rPr>
                                  <w:rFonts w:ascii="Garamond" w:hAnsi="Garamond"/>
                                  <w:sz w:val="24"/>
                                  <w:szCs w:val="24"/>
                                </w:rPr>
                                <w:t>The Blues Program</w:t>
                              </w:r>
                              <w:r>
                                <w:rPr>
                                  <w:rFonts w:ascii="Garamond" w:hAnsi="Garamond"/>
                                  <w:b/>
                                  <w:sz w:val="24"/>
                                  <w:szCs w:val="24"/>
                                </w:rPr>
                                <w:t xml:space="preserve"> </w:t>
                              </w:r>
                              <w:r w:rsidRPr="003F4384">
                                <w:rPr>
                                  <w:rFonts w:ascii="Garamond" w:hAnsi="Garamond"/>
                                  <w:sz w:val="24"/>
                                </w:rPr>
                                <w:t>addresses</w:t>
                              </w:r>
                              <w:r>
                                <w:rPr>
                                  <w:rFonts w:ascii="Garamond" w:hAnsi="Garamond"/>
                                  <w:sz w:val="24"/>
                                </w:rPr>
                                <w:t xml:space="preserve"> negative cognitions and promotes increased engagement in pleasant activities in an effort to prevent the onset and persistence of depression in at-risk youth with depressive symptoms, which if left untreated can lead to:</w:t>
                              </w:r>
                            </w:p>
                            <w:p w:rsidR="00860C81" w:rsidRDefault="00860C81" w:rsidP="00860C81">
                              <w:pPr>
                                <w:spacing w:after="0" w:line="240" w:lineRule="auto"/>
                                <w:rPr>
                                  <w:rFonts w:ascii="Garamond" w:hAnsi="Garamond"/>
                                  <w:sz w:val="24"/>
                                </w:rPr>
                              </w:pPr>
                            </w:p>
                            <w:p w:rsidR="00860C81" w:rsidRDefault="00860C81" w:rsidP="00860C81">
                              <w:pPr>
                                <w:pStyle w:val="ListParagraph"/>
                                <w:numPr>
                                  <w:ilvl w:val="0"/>
                                  <w:numId w:val="1"/>
                                </w:numPr>
                                <w:spacing w:after="0" w:line="240" w:lineRule="auto"/>
                                <w:rPr>
                                  <w:rFonts w:ascii="Garamond" w:hAnsi="Garamond"/>
                                  <w:sz w:val="24"/>
                                </w:rPr>
                              </w:pPr>
                              <w:r>
                                <w:rPr>
                                  <w:rFonts w:ascii="Garamond" w:hAnsi="Garamond"/>
                                  <w:sz w:val="24"/>
                                </w:rPr>
                                <w:t>Increased severity of depressive symptoms</w:t>
                              </w:r>
                            </w:p>
                            <w:p w:rsidR="00860C81" w:rsidRDefault="00860C81" w:rsidP="00860C81">
                              <w:pPr>
                                <w:pStyle w:val="ListParagraph"/>
                                <w:numPr>
                                  <w:ilvl w:val="0"/>
                                  <w:numId w:val="1"/>
                                </w:numPr>
                                <w:spacing w:after="0" w:line="240" w:lineRule="auto"/>
                                <w:rPr>
                                  <w:rFonts w:ascii="Garamond" w:hAnsi="Garamond"/>
                                  <w:sz w:val="24"/>
                                </w:rPr>
                              </w:pPr>
                              <w:r>
                                <w:rPr>
                                  <w:rFonts w:ascii="Garamond" w:hAnsi="Garamond"/>
                                  <w:sz w:val="24"/>
                                </w:rPr>
                                <w:t>Onset of Major Depression</w:t>
                              </w:r>
                            </w:p>
                            <w:p w:rsidR="00860C81" w:rsidRPr="00B33305" w:rsidRDefault="00860C81" w:rsidP="00860C81">
                              <w:pPr>
                                <w:pStyle w:val="ListParagraph"/>
                                <w:numPr>
                                  <w:ilvl w:val="0"/>
                                  <w:numId w:val="1"/>
                                </w:numPr>
                                <w:spacing w:after="0" w:line="240" w:lineRule="auto"/>
                                <w:rPr>
                                  <w:rFonts w:ascii="Garamond" w:hAnsi="Garamond"/>
                                  <w:sz w:val="24"/>
                                </w:rPr>
                              </w:pPr>
                              <w:r>
                                <w:rPr>
                                  <w:rFonts w:ascii="Garamond" w:hAnsi="Garamond"/>
                                  <w:sz w:val="24"/>
                                </w:rPr>
                                <w:t>Risk, or increase, substance use</w:t>
                              </w:r>
                            </w:p>
                            <w:p w:rsidR="00860C81" w:rsidRDefault="00860C81" w:rsidP="00860C81">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4059"/>
                            <a:ext cx="1828800" cy="4835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C81" w:rsidRPr="00D960F8" w:rsidRDefault="00860C81">
                              <w:pPr>
                                <w:pStyle w:val="NoSpacing"/>
                                <w:jc w:val="center"/>
                                <w:rPr>
                                  <w:rFonts w:ascii="Times New Roman" w:eastAsiaTheme="majorEastAsia" w:hAnsi="Times New Roman" w:cs="Times New Roman"/>
                                  <w:b/>
                                  <w:caps/>
                                  <w:color w:val="4472C4" w:themeColor="accent1"/>
                                  <w:sz w:val="28"/>
                                  <w:szCs w:val="28"/>
                                </w:rPr>
                              </w:pPr>
                              <w:r w:rsidRPr="00D960F8">
                                <w:rPr>
                                  <w:rFonts w:ascii="Times New Roman" w:eastAsiaTheme="majorEastAsia" w:hAnsi="Times New Roman" w:cs="Times New Roman"/>
                                  <w:b/>
                                  <w:caps/>
                                  <w:color w:val="4472C4" w:themeColor="accent1"/>
                                  <w:sz w:val="24"/>
                                  <w:szCs w:val="24"/>
                                </w:rPr>
                                <w:t>The Blues Program</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id="Group 201" o:spid="_x0000_s1026" style="position:absolute;margin-left:0;margin-top:50.5pt;width:2in;height:593.45pt;z-index:-251657216;mso-width-percent:308;mso-wrap-distance-left:18pt;mso-wrap-distance-right:18pt;mso-position-horizontal:left;mso-position-horizontal-relative:margin;mso-position-vertical-relative:margin;mso-width-percent:308;mso-width-relative:margin;mso-height-relative:margin" coordsize="18288,8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6794;width:18288;height:7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rsidR="00860C81" w:rsidRPr="00DB2BC5" w:rsidRDefault="00860C81" w:rsidP="00860C81">
                        <w:pPr>
                          <w:spacing w:after="0" w:line="240" w:lineRule="auto"/>
                          <w:rPr>
                            <w:rFonts w:ascii="Garamond" w:hAnsi="Garamond"/>
                            <w:sz w:val="24"/>
                            <w:szCs w:val="24"/>
                          </w:rPr>
                        </w:pPr>
                        <w:r w:rsidRPr="00DB2BC5">
                          <w:rPr>
                            <w:rFonts w:ascii="Garamond" w:hAnsi="Garamond"/>
                            <w:sz w:val="24"/>
                            <w:szCs w:val="24"/>
                          </w:rPr>
                          <w:t>The Blues Program</w:t>
                        </w:r>
                        <w:r>
                          <w:rPr>
                            <w:rFonts w:ascii="Garamond" w:hAnsi="Garamond"/>
                            <w:sz w:val="24"/>
                            <w:szCs w:val="24"/>
                          </w:rPr>
                          <w:t xml:space="preserve"> </w:t>
                        </w:r>
                        <w:r w:rsidRPr="00DB2BC5">
                          <w:rPr>
                            <w:rFonts w:ascii="Garamond" w:hAnsi="Garamond"/>
                            <w:sz w:val="24"/>
                            <w:szCs w:val="24"/>
                          </w:rPr>
                          <w:t>is a school-based prevention program for adolescents with depressive symptoms or adolescents who are at risk of onset of major depression.  The program is delivered to groups of 4-8 adolescents, in one-hour sessions over 6 weeks with home practice assignments included.  Group sessions include: building group rapport, increasing participant involvement in pleasant activities, learning and practicing cognitive restricting techniques, and developing response plans in future life stressors</w:t>
                        </w:r>
                        <w:r>
                          <w:rPr>
                            <w:rFonts w:ascii="Garamond" w:hAnsi="Garamond"/>
                            <w:sz w:val="24"/>
                            <w:szCs w:val="24"/>
                          </w:rPr>
                          <w:t>.</w:t>
                        </w:r>
                      </w:p>
                      <w:p w:rsidR="00860C81" w:rsidRDefault="00860C81" w:rsidP="00860C81">
                        <w:pPr>
                          <w:spacing w:after="0" w:line="240" w:lineRule="auto"/>
                          <w:rPr>
                            <w:rFonts w:ascii="Garamond" w:hAnsi="Garamond"/>
                            <w:b/>
                            <w:sz w:val="24"/>
                            <w:szCs w:val="24"/>
                          </w:rPr>
                        </w:pPr>
                      </w:p>
                      <w:p w:rsidR="00860C81" w:rsidRDefault="00860C81" w:rsidP="00860C81">
                        <w:pPr>
                          <w:spacing w:after="0" w:line="240" w:lineRule="auto"/>
                          <w:rPr>
                            <w:rFonts w:ascii="Garamond" w:hAnsi="Garamond"/>
                            <w:sz w:val="24"/>
                          </w:rPr>
                        </w:pPr>
                        <w:r w:rsidRPr="00636766">
                          <w:rPr>
                            <w:rFonts w:ascii="Garamond" w:hAnsi="Garamond"/>
                            <w:b/>
                            <w:sz w:val="24"/>
                            <w:szCs w:val="24"/>
                          </w:rPr>
                          <w:t>Targeted Risk Factor</w:t>
                        </w:r>
                        <w:r>
                          <w:rPr>
                            <w:rFonts w:ascii="Garamond" w:hAnsi="Garamond"/>
                            <w:b/>
                            <w:sz w:val="24"/>
                            <w:szCs w:val="24"/>
                          </w:rPr>
                          <w:t>s</w:t>
                        </w:r>
                        <w:r w:rsidRPr="00636766">
                          <w:rPr>
                            <w:rFonts w:ascii="Garamond" w:hAnsi="Garamond"/>
                            <w:b/>
                            <w:sz w:val="24"/>
                            <w:szCs w:val="24"/>
                          </w:rPr>
                          <w:t xml:space="preserve">:  </w:t>
                        </w:r>
                        <w:r w:rsidRPr="00B33305">
                          <w:rPr>
                            <w:rFonts w:ascii="Garamond" w:hAnsi="Garamond"/>
                            <w:sz w:val="24"/>
                            <w:szCs w:val="24"/>
                          </w:rPr>
                          <w:t>The Blues Program</w:t>
                        </w:r>
                        <w:r>
                          <w:rPr>
                            <w:rFonts w:ascii="Garamond" w:hAnsi="Garamond"/>
                            <w:b/>
                            <w:sz w:val="24"/>
                            <w:szCs w:val="24"/>
                          </w:rPr>
                          <w:t xml:space="preserve"> </w:t>
                        </w:r>
                        <w:r w:rsidRPr="003F4384">
                          <w:rPr>
                            <w:rFonts w:ascii="Garamond" w:hAnsi="Garamond"/>
                            <w:sz w:val="24"/>
                          </w:rPr>
                          <w:t>addresses</w:t>
                        </w:r>
                        <w:r>
                          <w:rPr>
                            <w:rFonts w:ascii="Garamond" w:hAnsi="Garamond"/>
                            <w:sz w:val="24"/>
                          </w:rPr>
                          <w:t xml:space="preserve"> negative cognitions and promotes increased engagement in pleasant activities in an effort to prevent the onset and persistence of depression in at-risk youth with depressive symptoms, which if left untreated can lead to:</w:t>
                        </w:r>
                      </w:p>
                      <w:p w:rsidR="00860C81" w:rsidRDefault="00860C81" w:rsidP="00860C81">
                        <w:pPr>
                          <w:spacing w:after="0" w:line="240" w:lineRule="auto"/>
                          <w:rPr>
                            <w:rFonts w:ascii="Garamond" w:hAnsi="Garamond"/>
                            <w:sz w:val="24"/>
                          </w:rPr>
                        </w:pPr>
                      </w:p>
                      <w:p w:rsidR="00860C81" w:rsidRDefault="00860C81" w:rsidP="00860C81">
                        <w:pPr>
                          <w:pStyle w:val="ListParagraph"/>
                          <w:numPr>
                            <w:ilvl w:val="0"/>
                            <w:numId w:val="1"/>
                          </w:numPr>
                          <w:spacing w:after="0" w:line="240" w:lineRule="auto"/>
                          <w:rPr>
                            <w:rFonts w:ascii="Garamond" w:hAnsi="Garamond"/>
                            <w:sz w:val="24"/>
                          </w:rPr>
                        </w:pPr>
                        <w:r>
                          <w:rPr>
                            <w:rFonts w:ascii="Garamond" w:hAnsi="Garamond"/>
                            <w:sz w:val="24"/>
                          </w:rPr>
                          <w:t>Increased severity of depressive symptoms</w:t>
                        </w:r>
                      </w:p>
                      <w:p w:rsidR="00860C81" w:rsidRDefault="00860C81" w:rsidP="00860C81">
                        <w:pPr>
                          <w:pStyle w:val="ListParagraph"/>
                          <w:numPr>
                            <w:ilvl w:val="0"/>
                            <w:numId w:val="1"/>
                          </w:numPr>
                          <w:spacing w:after="0" w:line="240" w:lineRule="auto"/>
                          <w:rPr>
                            <w:rFonts w:ascii="Garamond" w:hAnsi="Garamond"/>
                            <w:sz w:val="24"/>
                          </w:rPr>
                        </w:pPr>
                        <w:r>
                          <w:rPr>
                            <w:rFonts w:ascii="Garamond" w:hAnsi="Garamond"/>
                            <w:sz w:val="24"/>
                          </w:rPr>
                          <w:t>Onset of Major Depression</w:t>
                        </w:r>
                      </w:p>
                      <w:p w:rsidR="00860C81" w:rsidRPr="00B33305" w:rsidRDefault="00860C81" w:rsidP="00860C81">
                        <w:pPr>
                          <w:pStyle w:val="ListParagraph"/>
                          <w:numPr>
                            <w:ilvl w:val="0"/>
                            <w:numId w:val="1"/>
                          </w:numPr>
                          <w:spacing w:after="0" w:line="240" w:lineRule="auto"/>
                          <w:rPr>
                            <w:rFonts w:ascii="Garamond" w:hAnsi="Garamond"/>
                            <w:sz w:val="24"/>
                          </w:rPr>
                        </w:pPr>
                        <w:r>
                          <w:rPr>
                            <w:rFonts w:ascii="Garamond" w:hAnsi="Garamond"/>
                            <w:sz w:val="24"/>
                          </w:rPr>
                          <w:t>Risk, or increase, substance use</w:t>
                        </w:r>
                      </w:p>
                      <w:p w:rsidR="00860C81" w:rsidRDefault="00860C81" w:rsidP="00860C81">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40;width:182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860C81" w:rsidRPr="00D960F8" w:rsidRDefault="00860C81">
                        <w:pPr>
                          <w:pStyle w:val="NoSpacing"/>
                          <w:jc w:val="center"/>
                          <w:rPr>
                            <w:rFonts w:ascii="Times New Roman" w:eastAsiaTheme="majorEastAsia" w:hAnsi="Times New Roman" w:cs="Times New Roman"/>
                            <w:b/>
                            <w:caps/>
                            <w:color w:val="4472C4" w:themeColor="accent1"/>
                            <w:sz w:val="28"/>
                            <w:szCs w:val="28"/>
                          </w:rPr>
                        </w:pPr>
                        <w:r w:rsidRPr="00D960F8">
                          <w:rPr>
                            <w:rFonts w:ascii="Times New Roman" w:eastAsiaTheme="majorEastAsia" w:hAnsi="Times New Roman" w:cs="Times New Roman"/>
                            <w:b/>
                            <w:caps/>
                            <w:color w:val="4472C4" w:themeColor="accent1"/>
                            <w:sz w:val="24"/>
                            <w:szCs w:val="24"/>
                          </w:rPr>
                          <w:t>The Blues Program</w:t>
                        </w:r>
                      </w:p>
                    </w:txbxContent>
                  </v:textbox>
                </v:shape>
                <w10:wrap type="square" anchorx="margin" anchory="margin"/>
              </v:group>
            </w:pict>
          </mc:Fallback>
        </mc:AlternateContent>
      </w:r>
      <w:r w:rsidR="00D960F8" w:rsidRPr="00D960F8">
        <w:rPr>
          <w:rFonts w:ascii="Times New Roman" w:hAnsi="Times New Roman"/>
          <w:sz w:val="24"/>
          <w:szCs w:val="24"/>
        </w:rPr>
        <w:t xml:space="preserve">.  </w:t>
      </w:r>
      <w:r w:rsidR="00DD7792" w:rsidRPr="00DD7792">
        <w:rPr>
          <w:rFonts w:ascii="Times New Roman" w:hAnsi="Times New Roman"/>
          <w:sz w:val="24"/>
          <w:szCs w:val="24"/>
          <w:highlight w:val="yellow"/>
        </w:rPr>
        <w:t>________</w:t>
      </w:r>
      <w:r w:rsidR="00D960F8">
        <w:rPr>
          <w:rFonts w:ascii="Times New Roman" w:hAnsi="Times New Roman"/>
          <w:sz w:val="24"/>
          <w:szCs w:val="24"/>
        </w:rPr>
        <w:t xml:space="preserve"> program staff were trained by the Blues Program Developer to implement the program.  </w:t>
      </w:r>
      <w:r w:rsidR="00D960F8" w:rsidRPr="00D960F8">
        <w:rPr>
          <w:rFonts w:ascii="Times New Roman" w:hAnsi="Times New Roman"/>
          <w:sz w:val="24"/>
          <w:szCs w:val="24"/>
        </w:rPr>
        <w:t>T</w:t>
      </w:r>
      <w:r w:rsidR="00D960F8">
        <w:rPr>
          <w:rFonts w:ascii="Times New Roman" w:hAnsi="Times New Roman"/>
          <w:sz w:val="24"/>
          <w:szCs w:val="24"/>
        </w:rPr>
        <w:t>o date, t</w:t>
      </w:r>
      <w:r w:rsidR="00D960F8" w:rsidRPr="00D960F8">
        <w:rPr>
          <w:rFonts w:ascii="Times New Roman" w:hAnsi="Times New Roman"/>
          <w:sz w:val="24"/>
          <w:szCs w:val="24"/>
        </w:rPr>
        <w:t>he Blues Program was provided to youth across</w:t>
      </w:r>
      <w:r w:rsidR="00DD7792">
        <w:rPr>
          <w:rFonts w:ascii="Times New Roman" w:hAnsi="Times New Roman"/>
          <w:sz w:val="24"/>
          <w:szCs w:val="24"/>
        </w:rPr>
        <w:t xml:space="preserve"> </w:t>
      </w:r>
      <w:r w:rsidR="00DD7792" w:rsidRPr="00DD7792">
        <w:rPr>
          <w:rFonts w:ascii="Times New Roman" w:hAnsi="Times New Roman"/>
          <w:sz w:val="24"/>
          <w:szCs w:val="24"/>
          <w:highlight w:val="yellow"/>
        </w:rPr>
        <w:t>______</w:t>
      </w:r>
      <w:r w:rsidR="00D960F8" w:rsidRPr="00D960F8">
        <w:rPr>
          <w:rFonts w:ascii="Times New Roman" w:hAnsi="Times New Roman"/>
          <w:sz w:val="24"/>
          <w:szCs w:val="24"/>
        </w:rPr>
        <w:t xml:space="preserve"> school districts in </w:t>
      </w:r>
      <w:r w:rsidR="00DD7792">
        <w:rPr>
          <w:rFonts w:ascii="Times New Roman" w:hAnsi="Times New Roman"/>
          <w:sz w:val="24"/>
          <w:szCs w:val="24"/>
          <w:highlight w:val="yellow"/>
        </w:rPr>
        <w:t>____________ County</w:t>
      </w:r>
      <w:r w:rsidR="00D960F8" w:rsidRPr="00D960F8">
        <w:rPr>
          <w:rFonts w:ascii="Times New Roman" w:hAnsi="Times New Roman"/>
          <w:sz w:val="24"/>
          <w:szCs w:val="24"/>
        </w:rPr>
        <w:t xml:space="preserve">: </w:t>
      </w:r>
      <w:r w:rsidR="00D960F8" w:rsidRPr="00D960F8">
        <w:rPr>
          <w:rFonts w:ascii="Times New Roman" w:hAnsi="Times New Roman"/>
          <w:sz w:val="24"/>
          <w:szCs w:val="24"/>
          <w:highlight w:val="yellow"/>
        </w:rPr>
        <w:t>names of the three districts.</w:t>
      </w:r>
    </w:p>
    <w:p w:rsidR="00D960F8" w:rsidRDefault="00D960F8" w:rsidP="00D960F8">
      <w:pPr>
        <w:jc w:val="center"/>
        <w:rPr>
          <w:rFonts w:ascii="Arial Black" w:hAnsi="Arial Black"/>
          <w:color w:val="2E74B5" w:themeColor="accent5" w:themeShade="BF"/>
          <w:sz w:val="32"/>
          <w:szCs w:val="32"/>
        </w:rPr>
      </w:pPr>
      <w:r w:rsidRPr="00D960F8">
        <w:rPr>
          <w:rFonts w:ascii="Arial Black" w:hAnsi="Arial Black"/>
          <w:color w:val="2E74B5" w:themeColor="accent5" w:themeShade="BF"/>
          <w:sz w:val="32"/>
          <w:szCs w:val="32"/>
        </w:rPr>
        <w:t>Pro</w:t>
      </w:r>
      <w:r w:rsidR="00C261EF">
        <w:rPr>
          <w:rFonts w:ascii="Arial Black" w:hAnsi="Arial Black"/>
          <w:color w:val="2E74B5" w:themeColor="accent5" w:themeShade="BF"/>
          <w:sz w:val="32"/>
          <w:szCs w:val="32"/>
        </w:rPr>
        <w:t>gram</w:t>
      </w:r>
      <w:r w:rsidRPr="00D960F8">
        <w:rPr>
          <w:rFonts w:ascii="Arial Black" w:hAnsi="Arial Black"/>
          <w:color w:val="2E74B5" w:themeColor="accent5" w:themeShade="BF"/>
          <w:sz w:val="32"/>
          <w:szCs w:val="32"/>
        </w:rPr>
        <w:t xml:space="preserve"> Reach</w:t>
      </w:r>
    </w:p>
    <w:p w:rsidR="008A6D7A" w:rsidRPr="00D960F8" w:rsidRDefault="008A6D7A" w:rsidP="00D960F8">
      <w:pPr>
        <w:jc w:val="center"/>
        <w:rPr>
          <w:rFonts w:ascii="Arial Black" w:hAnsi="Arial Black"/>
          <w:color w:val="2E74B5" w:themeColor="accent5" w:themeShade="BF"/>
          <w:sz w:val="32"/>
          <w:szCs w:val="32"/>
        </w:rPr>
      </w:pPr>
      <w:r>
        <w:rPr>
          <w:rFonts w:ascii="Arial Black" w:hAnsi="Arial Black"/>
          <w:noProof/>
          <w:color w:val="5B9BD5" w:themeColor="accent5"/>
          <w:sz w:val="32"/>
          <w:szCs w:val="32"/>
        </w:rPr>
        <w:drawing>
          <wp:inline distT="0" distB="0" distL="0" distR="0">
            <wp:extent cx="4108450" cy="2254250"/>
            <wp:effectExtent l="0" t="0" r="635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61EF" w:rsidRDefault="00C261EF" w:rsidP="00C261EF">
      <w:pPr>
        <w:jc w:val="center"/>
        <w:rPr>
          <w:rFonts w:ascii="Arial Black" w:hAnsi="Arial Black"/>
          <w:color w:val="2E74B5" w:themeColor="accent5" w:themeShade="BF"/>
          <w:sz w:val="32"/>
          <w:szCs w:val="32"/>
        </w:rPr>
      </w:pPr>
      <w:r>
        <w:rPr>
          <w:rFonts w:ascii="Arial Black" w:hAnsi="Arial Black"/>
          <w:color w:val="2E74B5" w:themeColor="accent5" w:themeShade="BF"/>
          <w:sz w:val="32"/>
          <w:szCs w:val="32"/>
        </w:rPr>
        <w:t>Program Screening</w:t>
      </w:r>
    </w:p>
    <w:p w:rsidR="00C261EF" w:rsidRDefault="00C261EF" w:rsidP="00C261EF">
      <w:pPr>
        <w:jc w:val="center"/>
        <w:rPr>
          <w:rFonts w:ascii="Arial Black" w:hAnsi="Arial Black"/>
          <w:color w:val="2E74B5" w:themeColor="accent5" w:themeShade="BF"/>
          <w:sz w:val="32"/>
          <w:szCs w:val="32"/>
        </w:rPr>
      </w:pPr>
      <w:r>
        <w:rPr>
          <w:rFonts w:ascii="Arial Black" w:hAnsi="Arial Black"/>
          <w:noProof/>
          <w:color w:val="5B9BD5" w:themeColor="accent5"/>
          <w:sz w:val="32"/>
          <w:szCs w:val="32"/>
        </w:rPr>
        <w:drawing>
          <wp:inline distT="0" distB="0" distL="0" distR="0">
            <wp:extent cx="4311650" cy="2165350"/>
            <wp:effectExtent l="0" t="0" r="1270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61EF" w:rsidRDefault="002352DE" w:rsidP="001A3399">
      <w:pPr>
        <w:spacing w:after="0"/>
        <w:jc w:val="center"/>
        <w:rPr>
          <w:rFonts w:ascii="Arial Black" w:hAnsi="Arial Black"/>
          <w:color w:val="2E74B5" w:themeColor="accent5" w:themeShade="BF"/>
          <w:sz w:val="32"/>
          <w:szCs w:val="32"/>
        </w:rPr>
      </w:pPr>
      <w:r>
        <w:rPr>
          <w:rFonts w:ascii="Arial Black" w:hAnsi="Arial Black"/>
          <w:noProof/>
          <w:color w:val="5B9BD5" w:themeColor="accent5"/>
          <w:sz w:val="52"/>
          <w:szCs w:val="52"/>
        </w:rPr>
        <w:lastRenderedPageBreak/>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107950</wp:posOffset>
                </wp:positionV>
                <wp:extent cx="1250950" cy="20002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1250950" cy="2000250"/>
                        </a:xfrm>
                        <a:prstGeom prst="rect">
                          <a:avLst/>
                        </a:prstGeom>
                        <a:solidFill>
                          <a:schemeClr val="accent1">
                            <a:lumMod val="20000"/>
                            <a:lumOff val="80000"/>
                          </a:schemeClr>
                        </a:solidFill>
                        <a:ln w="6350">
                          <a:solidFill>
                            <a:prstClr val="black"/>
                          </a:solidFill>
                        </a:ln>
                      </wps:spPr>
                      <wps:txbx>
                        <w:txbxContent>
                          <w:p w:rsidR="002352DE" w:rsidRPr="00266BE8" w:rsidRDefault="002352DE">
                            <w:pPr>
                              <w:rPr>
                                <w:sz w:val="23"/>
                                <w:szCs w:val="23"/>
                              </w:rPr>
                            </w:pPr>
                            <w:r w:rsidRPr="00266BE8">
                              <w:rPr>
                                <w:rFonts w:ascii="Times New Roman" w:hAnsi="Times New Roman"/>
                                <w:sz w:val="23"/>
                                <w:szCs w:val="23"/>
                              </w:rPr>
                              <w:t>Surveys are completed by youth during the first and last sessions.</w:t>
                            </w:r>
                            <w:r w:rsidR="004C1AAF" w:rsidRPr="00266BE8">
                              <w:rPr>
                                <w:rFonts w:ascii="Times New Roman" w:hAnsi="Times New Roman"/>
                                <w:sz w:val="23"/>
                                <w:szCs w:val="23"/>
                              </w:rPr>
                              <w:t xml:space="preserve"> Out of the </w:t>
                            </w:r>
                            <w:r w:rsidR="00DD7792" w:rsidRPr="00DD7792">
                              <w:rPr>
                                <w:rFonts w:ascii="Times New Roman" w:hAnsi="Times New Roman"/>
                                <w:sz w:val="23"/>
                                <w:szCs w:val="23"/>
                                <w:highlight w:val="yellow"/>
                              </w:rPr>
                              <w:t>____</w:t>
                            </w:r>
                            <w:r w:rsidR="004C1AAF" w:rsidRPr="00266BE8">
                              <w:rPr>
                                <w:rFonts w:ascii="Times New Roman" w:hAnsi="Times New Roman"/>
                                <w:sz w:val="23"/>
                                <w:szCs w:val="23"/>
                              </w:rPr>
                              <w:t xml:space="preserve"> youth who participated, </w:t>
                            </w:r>
                            <w:r w:rsidR="00DD7792">
                              <w:rPr>
                                <w:rFonts w:ascii="Times New Roman" w:hAnsi="Times New Roman"/>
                                <w:sz w:val="23"/>
                                <w:szCs w:val="23"/>
                                <w:highlight w:val="yellow"/>
                              </w:rPr>
                              <w:t>___</w:t>
                            </w:r>
                            <w:r w:rsidR="004C1AAF" w:rsidRPr="00266BE8">
                              <w:rPr>
                                <w:rFonts w:ascii="Times New Roman" w:hAnsi="Times New Roman"/>
                                <w:sz w:val="23"/>
                                <w:szCs w:val="23"/>
                              </w:rPr>
                              <w:t xml:space="preserve"> had completed Pre- and Post-Surveys.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14.5pt;margin-top:8.5pt;width:98.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" fillcolor="#d9e2f3 [660]" strokeweight=".5pt">
                <v:textbox>
                  <w:txbxContent>
                    <w:p w:rsidR="002352DE" w:rsidRPr="00266BE8" w:rsidRDefault="002352DE">
                      <w:pPr>
                        <w:rPr>
                          <w:sz w:val="23"/>
                          <w:szCs w:val="23"/>
                        </w:rPr>
                      </w:pPr>
                      <w:r w:rsidRPr="00266BE8">
                        <w:rPr>
                          <w:rFonts w:ascii="Times New Roman" w:hAnsi="Times New Roman"/>
                          <w:sz w:val="23"/>
                          <w:szCs w:val="23"/>
                        </w:rPr>
                        <w:t>Surveys are completed by youth during the first and last sessions.</w:t>
                      </w:r>
                      <w:r w:rsidR="004C1AAF" w:rsidRPr="00266BE8">
                        <w:rPr>
                          <w:rFonts w:ascii="Times New Roman" w:hAnsi="Times New Roman"/>
                          <w:sz w:val="23"/>
                          <w:szCs w:val="23"/>
                        </w:rPr>
                        <w:t xml:space="preserve"> Out of the </w:t>
                      </w:r>
                      <w:r w:rsidR="00DD7792" w:rsidRPr="00DD7792">
                        <w:rPr>
                          <w:rFonts w:ascii="Times New Roman" w:hAnsi="Times New Roman"/>
                          <w:sz w:val="23"/>
                          <w:szCs w:val="23"/>
                          <w:highlight w:val="yellow"/>
                        </w:rPr>
                        <w:t>____</w:t>
                      </w:r>
                      <w:r w:rsidR="004C1AAF" w:rsidRPr="00266BE8">
                        <w:rPr>
                          <w:rFonts w:ascii="Times New Roman" w:hAnsi="Times New Roman"/>
                          <w:sz w:val="23"/>
                          <w:szCs w:val="23"/>
                        </w:rPr>
                        <w:t xml:space="preserve"> youth who participated, </w:t>
                      </w:r>
                      <w:r w:rsidR="00DD7792">
                        <w:rPr>
                          <w:rFonts w:ascii="Times New Roman" w:hAnsi="Times New Roman"/>
                          <w:sz w:val="23"/>
                          <w:szCs w:val="23"/>
                          <w:highlight w:val="yellow"/>
                        </w:rPr>
                        <w:t>___</w:t>
                      </w:r>
                      <w:r w:rsidR="004C1AAF" w:rsidRPr="00266BE8">
                        <w:rPr>
                          <w:rFonts w:ascii="Times New Roman" w:hAnsi="Times New Roman"/>
                          <w:sz w:val="23"/>
                          <w:szCs w:val="23"/>
                        </w:rPr>
                        <w:t xml:space="preserve"> had completed Pre- and Post-Surveys.</w:t>
                      </w:r>
                    </w:p>
                  </w:txbxContent>
                </v:textbox>
              </v:shape>
            </w:pict>
          </mc:Fallback>
        </mc:AlternateContent>
      </w:r>
      <w:r w:rsidR="00014662" w:rsidRPr="002352DE">
        <w:rPr>
          <w:rFonts w:ascii="Arial Black" w:hAnsi="Arial Black"/>
          <w:noProof/>
          <w:color w:val="5B9BD5" w:themeColor="accent5"/>
          <w:sz w:val="52"/>
          <w:szCs w:val="52"/>
        </w:rPr>
        <w:drawing>
          <wp:inline distT="0" distB="0" distL="0" distR="0">
            <wp:extent cx="6597650" cy="244475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512A" w:rsidRDefault="0040512A" w:rsidP="001A3399">
      <w:pPr>
        <w:spacing w:after="0"/>
        <w:jc w:val="center"/>
        <w:rPr>
          <w:rFonts w:ascii="Arial Black" w:hAnsi="Arial Black"/>
          <w:color w:val="2E74B5" w:themeColor="accent5" w:themeShade="BF"/>
          <w:sz w:val="32"/>
          <w:szCs w:val="32"/>
        </w:rPr>
      </w:pPr>
      <w:r w:rsidRPr="0040512A">
        <w:rPr>
          <w:rFonts w:ascii="Arial Black" w:hAnsi="Arial Black"/>
          <w:color w:val="2E74B5" w:themeColor="accent5" w:themeShade="BF"/>
          <w:sz w:val="32"/>
          <w:szCs w:val="32"/>
        </w:rPr>
        <w:t>Youth Demographics</w:t>
      </w:r>
    </w:p>
    <w:tbl>
      <w:tblPr>
        <w:tblW w:w="10160" w:type="dxa"/>
        <w:jc w:val="center"/>
        <w:tblCellMar>
          <w:top w:w="15" w:type="dxa"/>
          <w:bottom w:w="15" w:type="dxa"/>
        </w:tblCellMar>
        <w:tblLook w:val="04A0" w:firstRow="1" w:lastRow="0" w:firstColumn="1" w:lastColumn="0" w:noHBand="0" w:noVBand="1"/>
      </w:tblPr>
      <w:tblGrid>
        <w:gridCol w:w="1326"/>
        <w:gridCol w:w="2418"/>
        <w:gridCol w:w="952"/>
        <w:gridCol w:w="1226"/>
        <w:gridCol w:w="1198"/>
        <w:gridCol w:w="592"/>
        <w:gridCol w:w="952"/>
        <w:gridCol w:w="1496"/>
      </w:tblGrid>
      <w:tr w:rsidR="002549FD" w:rsidRPr="0040512A" w:rsidTr="000B6146">
        <w:trPr>
          <w:trHeight w:val="285"/>
          <w:jc w:val="center"/>
        </w:trPr>
        <w:tc>
          <w:tcPr>
            <w:tcW w:w="3744" w:type="dxa"/>
            <w:gridSpan w:val="2"/>
            <w:tcBorders>
              <w:top w:val="single" w:sz="4" w:space="0" w:color="auto"/>
              <w:left w:val="single" w:sz="8" w:space="0" w:color="auto"/>
              <w:right w:val="single" w:sz="4" w:space="0" w:color="auto"/>
            </w:tcBorders>
            <w:shd w:val="clear" w:color="auto" w:fill="E7E6E6" w:themeFill="background2"/>
            <w:vAlign w:val="center"/>
          </w:tcPr>
          <w:p w:rsidR="002549FD" w:rsidRPr="0040512A" w:rsidRDefault="002549FD" w:rsidP="001A3399">
            <w:pPr>
              <w:spacing w:after="0" w:line="240" w:lineRule="auto"/>
              <w:rPr>
                <w:rFonts w:eastAsia="Times New Roman" w:cs="Calibri"/>
                <w:color w:val="000000"/>
              </w:rPr>
            </w:pPr>
          </w:p>
        </w:tc>
        <w:tc>
          <w:tcPr>
            <w:tcW w:w="952" w:type="dxa"/>
            <w:tcBorders>
              <w:top w:val="single" w:sz="4" w:space="0" w:color="auto"/>
              <w:left w:val="single" w:sz="4" w:space="0" w:color="auto"/>
              <w:bottom w:val="single" w:sz="4" w:space="0" w:color="auto"/>
              <w:right w:val="single" w:sz="4" w:space="0" w:color="auto"/>
            </w:tcBorders>
            <w:shd w:val="clear" w:color="auto" w:fill="E7E6E6" w:themeFill="background2"/>
            <w:noWrap/>
          </w:tcPr>
          <w:p w:rsidR="002549FD" w:rsidRPr="0040512A" w:rsidRDefault="002549FD" w:rsidP="001A3399">
            <w:pPr>
              <w:spacing w:after="0" w:line="240" w:lineRule="auto"/>
              <w:jc w:val="right"/>
              <w:rPr>
                <w:rFonts w:eastAsia="Times New Roman" w:cs="Calibri"/>
                <w:color w:val="000000"/>
              </w:rPr>
            </w:pPr>
            <w:r>
              <w:rPr>
                <w:rFonts w:eastAsia="Times New Roman" w:cs="Calibri"/>
                <w:color w:val="000000"/>
              </w:rPr>
              <w:t>Number</w:t>
            </w:r>
          </w:p>
        </w:tc>
        <w:tc>
          <w:tcPr>
            <w:tcW w:w="1226" w:type="dxa"/>
            <w:tcBorders>
              <w:top w:val="single" w:sz="4" w:space="0" w:color="auto"/>
              <w:left w:val="single" w:sz="4" w:space="0" w:color="auto"/>
              <w:bottom w:val="single" w:sz="4" w:space="0" w:color="auto"/>
              <w:right w:val="single" w:sz="8" w:space="0" w:color="auto"/>
            </w:tcBorders>
            <w:shd w:val="clear" w:color="auto" w:fill="E7E6E6" w:themeFill="background2"/>
            <w:noWrap/>
          </w:tcPr>
          <w:p w:rsidR="002549FD" w:rsidRPr="0040512A" w:rsidRDefault="002549FD" w:rsidP="001A3399">
            <w:pPr>
              <w:spacing w:after="0" w:line="240" w:lineRule="auto"/>
              <w:jc w:val="right"/>
              <w:rPr>
                <w:rFonts w:eastAsia="Times New Roman" w:cs="Calibri"/>
                <w:color w:val="000000"/>
              </w:rPr>
            </w:pPr>
            <w:r>
              <w:rPr>
                <w:rFonts w:eastAsia="Times New Roman" w:cs="Calibri"/>
                <w:color w:val="000000"/>
              </w:rPr>
              <w:t>Percentage</w:t>
            </w:r>
          </w:p>
        </w:tc>
        <w:tc>
          <w:tcPr>
            <w:tcW w:w="1790" w:type="dxa"/>
            <w:gridSpan w:val="2"/>
            <w:tcBorders>
              <w:top w:val="single" w:sz="4" w:space="0" w:color="auto"/>
              <w:left w:val="single" w:sz="4" w:space="0" w:color="auto"/>
              <w:right w:val="single" w:sz="8" w:space="0" w:color="auto"/>
            </w:tcBorders>
            <w:shd w:val="clear" w:color="auto" w:fill="E7E6E6" w:themeFill="background2"/>
            <w:vAlign w:val="center"/>
          </w:tcPr>
          <w:p w:rsidR="002549FD" w:rsidRPr="0040512A" w:rsidRDefault="002549FD" w:rsidP="001A3399">
            <w:pPr>
              <w:spacing w:after="0" w:line="240" w:lineRule="auto"/>
              <w:jc w:val="right"/>
              <w:rPr>
                <w:rFonts w:eastAsia="Times New Roman" w:cs="Calibri"/>
                <w:color w:val="000000"/>
              </w:rPr>
            </w:pPr>
          </w:p>
        </w:tc>
        <w:tc>
          <w:tcPr>
            <w:tcW w:w="952" w:type="dxa"/>
            <w:tcBorders>
              <w:top w:val="single" w:sz="4" w:space="0" w:color="auto"/>
              <w:left w:val="single" w:sz="4" w:space="0" w:color="auto"/>
              <w:bottom w:val="single" w:sz="4" w:space="0" w:color="auto"/>
              <w:right w:val="single" w:sz="8" w:space="0" w:color="auto"/>
            </w:tcBorders>
            <w:shd w:val="clear" w:color="auto" w:fill="E7E6E6" w:themeFill="background2"/>
          </w:tcPr>
          <w:p w:rsidR="002549FD" w:rsidRPr="0040512A" w:rsidRDefault="002549FD" w:rsidP="001A3399">
            <w:pPr>
              <w:spacing w:after="0" w:line="240" w:lineRule="auto"/>
              <w:jc w:val="right"/>
              <w:rPr>
                <w:rFonts w:eastAsia="Times New Roman" w:cs="Calibri"/>
                <w:color w:val="000000"/>
              </w:rPr>
            </w:pPr>
            <w:r>
              <w:rPr>
                <w:rFonts w:eastAsia="Times New Roman" w:cs="Calibri"/>
                <w:color w:val="000000"/>
              </w:rPr>
              <w:t>Number</w:t>
            </w:r>
          </w:p>
        </w:tc>
        <w:tc>
          <w:tcPr>
            <w:tcW w:w="1496" w:type="dxa"/>
            <w:tcBorders>
              <w:top w:val="single" w:sz="4" w:space="0" w:color="auto"/>
              <w:left w:val="single" w:sz="4" w:space="0" w:color="auto"/>
              <w:bottom w:val="single" w:sz="4" w:space="0" w:color="auto"/>
              <w:right w:val="single" w:sz="8" w:space="0" w:color="auto"/>
            </w:tcBorders>
            <w:shd w:val="clear" w:color="auto" w:fill="E7E6E6" w:themeFill="background2"/>
          </w:tcPr>
          <w:p w:rsidR="002549FD" w:rsidRPr="0040512A" w:rsidRDefault="002549FD" w:rsidP="001A3399">
            <w:pPr>
              <w:spacing w:after="0" w:line="240" w:lineRule="auto"/>
              <w:jc w:val="right"/>
              <w:rPr>
                <w:rFonts w:eastAsia="Times New Roman" w:cs="Calibri"/>
                <w:color w:val="000000"/>
              </w:rPr>
            </w:pPr>
            <w:r>
              <w:rPr>
                <w:rFonts w:eastAsia="Times New Roman" w:cs="Calibri"/>
                <w:color w:val="000000"/>
              </w:rPr>
              <w:t>Percentage</w:t>
            </w:r>
          </w:p>
        </w:tc>
      </w:tr>
      <w:tr w:rsidR="002549FD" w:rsidRPr="0040512A" w:rsidTr="000B6146">
        <w:trPr>
          <w:trHeight w:val="285"/>
          <w:jc w:val="center"/>
        </w:trPr>
        <w:tc>
          <w:tcPr>
            <w:tcW w:w="1326" w:type="dxa"/>
            <w:vMerge w:val="restart"/>
            <w:tcBorders>
              <w:top w:val="single" w:sz="4" w:space="0" w:color="auto"/>
              <w:left w:val="single" w:sz="8" w:space="0" w:color="auto"/>
              <w:right w:val="single" w:sz="4" w:space="0" w:color="auto"/>
            </w:tcBorders>
            <w:shd w:val="clear" w:color="auto" w:fill="FFF2CC" w:themeFill="accent4" w:themeFillTint="33"/>
            <w:vAlign w:val="center"/>
            <w:hideMark/>
          </w:tcPr>
          <w:p w:rsidR="002549FD" w:rsidRPr="0040512A" w:rsidRDefault="002549FD" w:rsidP="001A3399">
            <w:pPr>
              <w:spacing w:after="0" w:line="240" w:lineRule="auto"/>
              <w:jc w:val="center"/>
              <w:rPr>
                <w:rFonts w:ascii="Arial" w:eastAsia="Times New Roman" w:hAnsi="Arial" w:cs="Arial"/>
                <w:b/>
                <w:bCs/>
                <w:color w:val="000000"/>
                <w:sz w:val="24"/>
                <w:szCs w:val="24"/>
              </w:rPr>
            </w:pPr>
            <w:r w:rsidRPr="0040512A">
              <w:rPr>
                <w:rFonts w:ascii="Arial" w:eastAsia="Times New Roman" w:hAnsi="Arial" w:cs="Arial"/>
                <w:b/>
                <w:bCs/>
                <w:color w:val="000000"/>
                <w:sz w:val="24"/>
                <w:szCs w:val="24"/>
              </w:rPr>
              <w:t>Gender</w:t>
            </w:r>
          </w:p>
        </w:tc>
        <w:tc>
          <w:tcPr>
            <w:tcW w:w="24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549FD" w:rsidRPr="0040512A" w:rsidRDefault="002549FD" w:rsidP="001A3399">
            <w:pPr>
              <w:spacing w:after="0" w:line="240" w:lineRule="auto"/>
              <w:rPr>
                <w:rFonts w:eastAsia="Times New Roman" w:cs="Calibri"/>
                <w:color w:val="000000"/>
              </w:rPr>
            </w:pPr>
            <w:r w:rsidRPr="0040512A">
              <w:rPr>
                <w:rFonts w:eastAsia="Times New Roman" w:cs="Calibri"/>
                <w:color w:val="000000"/>
              </w:rPr>
              <w:t>Male</w:t>
            </w:r>
          </w:p>
        </w:tc>
        <w:tc>
          <w:tcPr>
            <w:tcW w:w="95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2549FD" w:rsidRPr="00DD7792" w:rsidRDefault="002549FD" w:rsidP="001A3399">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FFF2CC" w:themeFill="accent4" w:themeFillTint="33"/>
            <w:noWrap/>
            <w:hideMark/>
          </w:tcPr>
          <w:p w:rsidR="002549FD" w:rsidRPr="00DD7792" w:rsidRDefault="002549FD" w:rsidP="001A3399">
            <w:pPr>
              <w:spacing w:after="0" w:line="240" w:lineRule="auto"/>
              <w:jc w:val="center"/>
              <w:rPr>
                <w:rFonts w:eastAsia="Times New Roman" w:cs="Calibri"/>
                <w:color w:val="000000"/>
                <w:highlight w:val="yellow"/>
              </w:rPr>
            </w:pPr>
          </w:p>
        </w:tc>
        <w:tc>
          <w:tcPr>
            <w:tcW w:w="1198" w:type="dxa"/>
            <w:vMerge w:val="restart"/>
            <w:tcBorders>
              <w:top w:val="single" w:sz="4" w:space="0" w:color="auto"/>
              <w:left w:val="single" w:sz="4" w:space="0" w:color="auto"/>
              <w:right w:val="single" w:sz="8" w:space="0" w:color="auto"/>
            </w:tcBorders>
            <w:shd w:val="clear" w:color="auto" w:fill="F7CAAC" w:themeFill="accent2" w:themeFillTint="66"/>
            <w:vAlign w:val="center"/>
          </w:tcPr>
          <w:p w:rsidR="002549FD" w:rsidRPr="0040512A" w:rsidRDefault="002549FD" w:rsidP="001A3399">
            <w:pPr>
              <w:spacing w:after="0" w:line="240" w:lineRule="auto"/>
              <w:jc w:val="center"/>
              <w:rPr>
                <w:rFonts w:ascii="Arial" w:eastAsia="Times New Roman" w:hAnsi="Arial" w:cs="Arial"/>
                <w:b/>
                <w:bCs/>
                <w:color w:val="000000"/>
                <w:sz w:val="24"/>
                <w:szCs w:val="24"/>
              </w:rPr>
            </w:pPr>
            <w:r w:rsidRPr="0040512A">
              <w:rPr>
                <w:rFonts w:ascii="Arial" w:eastAsia="Times New Roman" w:hAnsi="Arial" w:cs="Arial"/>
                <w:b/>
                <w:bCs/>
                <w:color w:val="000000"/>
                <w:sz w:val="24"/>
                <w:szCs w:val="24"/>
              </w:rPr>
              <w:t>Age</w:t>
            </w: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right"/>
              <w:rPr>
                <w:rFonts w:eastAsia="Times New Roman" w:cs="Calibri"/>
                <w:color w:val="000000"/>
              </w:rPr>
            </w:pPr>
            <w:r w:rsidRPr="0040512A">
              <w:rPr>
                <w:rFonts w:eastAsia="Times New Roman" w:cs="Calibri"/>
                <w:color w:val="000000"/>
              </w:rPr>
              <w:t>14</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right w:val="single" w:sz="4" w:space="0" w:color="auto"/>
            </w:tcBorders>
            <w:shd w:val="clear" w:color="auto" w:fill="FFF2CC" w:themeFill="accent4" w:themeFillTint="33"/>
            <w:vAlign w:val="center"/>
            <w:hideMark/>
          </w:tcPr>
          <w:p w:rsidR="002549FD" w:rsidRPr="0040512A" w:rsidRDefault="002549FD" w:rsidP="001A3399">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549FD" w:rsidRPr="0040512A" w:rsidRDefault="002549FD" w:rsidP="001A3399">
            <w:pPr>
              <w:spacing w:after="0" w:line="240" w:lineRule="auto"/>
              <w:rPr>
                <w:rFonts w:eastAsia="Times New Roman" w:cs="Calibri"/>
                <w:color w:val="000000"/>
              </w:rPr>
            </w:pPr>
            <w:r w:rsidRPr="0040512A">
              <w:rPr>
                <w:rFonts w:eastAsia="Times New Roman" w:cs="Calibri"/>
                <w:color w:val="000000"/>
              </w:rPr>
              <w:t>Female</w:t>
            </w:r>
          </w:p>
        </w:tc>
        <w:tc>
          <w:tcPr>
            <w:tcW w:w="95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2549FD" w:rsidRPr="00DD7792" w:rsidRDefault="002549FD" w:rsidP="001A3399">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FFF2CC" w:themeFill="accent4" w:themeFillTint="33"/>
            <w:noWrap/>
            <w:hideMark/>
          </w:tcPr>
          <w:p w:rsidR="002549FD" w:rsidRPr="00DD7792" w:rsidRDefault="002549FD" w:rsidP="001A3399">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1A3399">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right"/>
              <w:rPr>
                <w:rFonts w:eastAsia="Times New Roman" w:cs="Calibri"/>
                <w:color w:val="000000"/>
              </w:rPr>
            </w:pPr>
            <w:r w:rsidRPr="0040512A">
              <w:rPr>
                <w:rFonts w:eastAsia="Times New Roman" w:cs="Calibri"/>
                <w:color w:val="000000"/>
              </w:rPr>
              <w:t>15</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1A3399">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bottom w:val="single" w:sz="4" w:space="0" w:color="auto"/>
              <w:right w:val="single" w:sz="4" w:space="0" w:color="auto"/>
            </w:tcBorders>
            <w:shd w:val="clear" w:color="auto" w:fill="FFF2CC" w:themeFill="accent4" w:themeFillTint="33"/>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Other</w:t>
            </w:r>
          </w:p>
        </w:tc>
        <w:tc>
          <w:tcPr>
            <w:tcW w:w="95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FFF2CC" w:themeFill="accent4"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16</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570"/>
          <w:jc w:val="center"/>
        </w:trPr>
        <w:tc>
          <w:tcPr>
            <w:tcW w:w="1326" w:type="dxa"/>
            <w:vMerge w:val="restart"/>
            <w:tcBorders>
              <w:top w:val="single" w:sz="4" w:space="0" w:color="auto"/>
              <w:left w:val="single" w:sz="8" w:space="0" w:color="auto"/>
              <w:right w:val="single" w:sz="4" w:space="0" w:color="auto"/>
            </w:tcBorders>
            <w:shd w:val="clear" w:color="auto" w:fill="E2EFD9" w:themeFill="accent6" w:themeFillTint="33"/>
            <w:vAlign w:val="center"/>
            <w:hideMark/>
          </w:tcPr>
          <w:p w:rsidR="002549FD" w:rsidRPr="0040512A" w:rsidRDefault="002549FD" w:rsidP="0040512A">
            <w:pPr>
              <w:spacing w:after="0" w:line="240" w:lineRule="auto"/>
              <w:jc w:val="center"/>
              <w:rPr>
                <w:rFonts w:ascii="Arial" w:eastAsia="Times New Roman" w:hAnsi="Arial" w:cs="Arial"/>
                <w:b/>
                <w:bCs/>
                <w:color w:val="000000"/>
                <w:sz w:val="24"/>
                <w:szCs w:val="24"/>
              </w:rPr>
            </w:pPr>
            <w:r w:rsidRPr="0040512A">
              <w:rPr>
                <w:rFonts w:ascii="Arial" w:eastAsia="Times New Roman" w:hAnsi="Arial" w:cs="Arial"/>
                <w:b/>
                <w:bCs/>
                <w:color w:val="000000"/>
                <w:sz w:val="24"/>
                <w:szCs w:val="24"/>
              </w:rPr>
              <w:t>Race</w:t>
            </w: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American Indian/Alaskan Native</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17</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right w:val="single" w:sz="4" w:space="0" w:color="auto"/>
            </w:tcBorders>
            <w:shd w:val="clear" w:color="auto" w:fill="E2EFD9" w:themeFill="accent6" w:themeFillTint="33"/>
            <w:noWrap/>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Asian</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18</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300"/>
          <w:jc w:val="center"/>
        </w:trPr>
        <w:tc>
          <w:tcPr>
            <w:tcW w:w="1326" w:type="dxa"/>
            <w:vMerge/>
            <w:tcBorders>
              <w:left w:val="single" w:sz="8" w:space="0" w:color="auto"/>
              <w:right w:val="single" w:sz="4" w:space="0" w:color="auto"/>
            </w:tcBorders>
            <w:shd w:val="clear" w:color="auto" w:fill="E2EFD9" w:themeFill="accent6" w:themeFillTint="33"/>
            <w:noWrap/>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Black or African American</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19</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570"/>
          <w:jc w:val="center"/>
        </w:trPr>
        <w:tc>
          <w:tcPr>
            <w:tcW w:w="1326" w:type="dxa"/>
            <w:vMerge/>
            <w:tcBorders>
              <w:left w:val="single" w:sz="8" w:space="0" w:color="auto"/>
              <w:right w:val="single" w:sz="4" w:space="0" w:color="auto"/>
            </w:tcBorders>
            <w:shd w:val="clear" w:color="auto" w:fill="E2EFD9" w:themeFill="accent6" w:themeFillTint="33"/>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 xml:space="preserve">Native Hawaiian or </w:t>
            </w:r>
            <w:proofErr w:type="gramStart"/>
            <w:r w:rsidRPr="0040512A">
              <w:rPr>
                <w:rFonts w:eastAsia="Times New Roman" w:cs="Calibri"/>
                <w:color w:val="000000"/>
              </w:rPr>
              <w:t>other</w:t>
            </w:r>
            <w:proofErr w:type="gramEnd"/>
            <w:r w:rsidRPr="0040512A">
              <w:rPr>
                <w:rFonts w:eastAsia="Times New Roman" w:cs="Calibri"/>
                <w:color w:val="000000"/>
              </w:rPr>
              <w:t xml:space="preserve"> Pacific Islander</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20</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right w:val="single" w:sz="4" w:space="0" w:color="auto"/>
            </w:tcBorders>
            <w:shd w:val="clear" w:color="auto" w:fill="E2EFD9" w:themeFill="accent6" w:themeFillTint="33"/>
            <w:noWrap/>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White</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bottom w:val="single" w:sz="4" w:space="0" w:color="auto"/>
              <w:right w:val="single" w:sz="8" w:space="0" w:color="auto"/>
            </w:tcBorders>
            <w:shd w:val="clear" w:color="auto" w:fill="F7CAAC" w:themeFill="accent2" w:themeFillTint="66"/>
            <w:vAlign w:val="center"/>
          </w:tcPr>
          <w:p w:rsidR="002549FD" w:rsidRPr="0040512A" w:rsidRDefault="002549FD" w:rsidP="0040512A">
            <w:pPr>
              <w:spacing w:after="0" w:line="240" w:lineRule="auto"/>
              <w:jc w:val="center"/>
              <w:rPr>
                <w:rFonts w:eastAsia="Times New Roman" w:cs="Calibri"/>
                <w:color w:val="000000"/>
                <w:sz w:val="24"/>
                <w:szCs w:val="24"/>
              </w:rPr>
            </w:pPr>
          </w:p>
        </w:tc>
        <w:tc>
          <w:tcPr>
            <w:tcW w:w="59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21</w:t>
            </w:r>
          </w:p>
        </w:tc>
        <w:tc>
          <w:tcPr>
            <w:tcW w:w="952"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F7CAAC" w:themeFill="accent2"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bottom w:val="single" w:sz="4" w:space="0" w:color="auto"/>
              <w:right w:val="single" w:sz="4" w:space="0" w:color="auto"/>
            </w:tcBorders>
            <w:shd w:val="clear" w:color="auto" w:fill="E2EFD9" w:themeFill="accent6" w:themeFillTint="33"/>
            <w:vAlign w:val="center"/>
            <w:hideMark/>
          </w:tcPr>
          <w:p w:rsidR="002549FD" w:rsidRPr="0040512A" w:rsidRDefault="002549FD" w:rsidP="0040512A">
            <w:pPr>
              <w:spacing w:after="0" w:line="240" w:lineRule="auto"/>
              <w:jc w:val="center"/>
              <w:rPr>
                <w:rFonts w:eastAsia="Times New Roman" w:cs="Calibri"/>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Other</w:t>
            </w:r>
          </w:p>
        </w:tc>
        <w:tc>
          <w:tcPr>
            <w:tcW w:w="95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E2EFD9" w:themeFill="accent6" w:themeFillTint="33"/>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val="restart"/>
            <w:tcBorders>
              <w:top w:val="single" w:sz="4" w:space="0" w:color="auto"/>
              <w:left w:val="single" w:sz="4" w:space="0" w:color="auto"/>
              <w:right w:val="single" w:sz="8" w:space="0" w:color="auto"/>
            </w:tcBorders>
            <w:shd w:val="clear" w:color="auto" w:fill="BDD6EE" w:themeFill="accent5" w:themeFillTint="66"/>
            <w:vAlign w:val="center"/>
          </w:tcPr>
          <w:p w:rsidR="002549FD" w:rsidRPr="0040512A" w:rsidRDefault="002549FD" w:rsidP="0040512A">
            <w:pPr>
              <w:spacing w:after="0" w:line="240" w:lineRule="auto"/>
              <w:jc w:val="center"/>
              <w:rPr>
                <w:rFonts w:ascii="Arial" w:eastAsia="Times New Roman" w:hAnsi="Arial" w:cs="Arial"/>
                <w:b/>
                <w:bCs/>
                <w:color w:val="000000"/>
                <w:sz w:val="24"/>
                <w:szCs w:val="24"/>
              </w:rPr>
            </w:pPr>
            <w:r w:rsidRPr="0040512A">
              <w:rPr>
                <w:rFonts w:ascii="Arial" w:eastAsia="Times New Roman" w:hAnsi="Arial" w:cs="Arial"/>
                <w:b/>
                <w:bCs/>
                <w:color w:val="000000"/>
                <w:sz w:val="24"/>
                <w:szCs w:val="24"/>
              </w:rPr>
              <w:t>Grade in School</w:t>
            </w:r>
          </w:p>
        </w:tc>
        <w:tc>
          <w:tcPr>
            <w:tcW w:w="59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9</w:t>
            </w:r>
          </w:p>
        </w:tc>
        <w:tc>
          <w:tcPr>
            <w:tcW w:w="95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35"/>
          <w:jc w:val="center"/>
        </w:trPr>
        <w:tc>
          <w:tcPr>
            <w:tcW w:w="1326" w:type="dxa"/>
            <w:vMerge w:val="restart"/>
            <w:tcBorders>
              <w:top w:val="single" w:sz="4" w:space="0" w:color="auto"/>
              <w:left w:val="single" w:sz="8" w:space="0" w:color="auto"/>
              <w:right w:val="single" w:sz="4" w:space="0" w:color="auto"/>
            </w:tcBorders>
            <w:shd w:val="clear" w:color="auto" w:fill="B8E2EE"/>
            <w:vAlign w:val="center"/>
            <w:hideMark/>
          </w:tcPr>
          <w:p w:rsidR="002549FD" w:rsidRPr="0040512A" w:rsidRDefault="002549FD" w:rsidP="0040512A">
            <w:pPr>
              <w:spacing w:after="0" w:line="240" w:lineRule="auto"/>
              <w:jc w:val="center"/>
              <w:rPr>
                <w:rFonts w:ascii="Arial" w:eastAsia="Times New Roman" w:hAnsi="Arial" w:cs="Arial"/>
                <w:b/>
                <w:bCs/>
                <w:color w:val="000000"/>
                <w:sz w:val="24"/>
                <w:szCs w:val="24"/>
              </w:rPr>
            </w:pPr>
            <w:r w:rsidRPr="0040512A">
              <w:rPr>
                <w:rFonts w:ascii="Arial" w:eastAsia="Times New Roman" w:hAnsi="Arial" w:cs="Arial"/>
                <w:b/>
                <w:bCs/>
                <w:color w:val="000000"/>
                <w:sz w:val="24"/>
                <w:szCs w:val="24"/>
              </w:rPr>
              <w:t>Ethnicity- Hispanic</w:t>
            </w:r>
          </w:p>
        </w:tc>
        <w:tc>
          <w:tcPr>
            <w:tcW w:w="2418" w:type="dxa"/>
            <w:tcBorders>
              <w:top w:val="single" w:sz="4" w:space="0" w:color="auto"/>
              <w:left w:val="single" w:sz="4" w:space="0" w:color="auto"/>
              <w:bottom w:val="single" w:sz="4" w:space="0" w:color="auto"/>
              <w:right w:val="single" w:sz="4" w:space="0" w:color="auto"/>
            </w:tcBorders>
            <w:shd w:val="clear" w:color="auto" w:fill="B8E2EE"/>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Yes</w:t>
            </w:r>
          </w:p>
        </w:tc>
        <w:tc>
          <w:tcPr>
            <w:tcW w:w="952" w:type="dxa"/>
            <w:tcBorders>
              <w:top w:val="single" w:sz="4" w:space="0" w:color="auto"/>
              <w:left w:val="single" w:sz="4" w:space="0" w:color="auto"/>
              <w:bottom w:val="single" w:sz="4" w:space="0" w:color="auto"/>
              <w:right w:val="single" w:sz="4" w:space="0" w:color="auto"/>
            </w:tcBorders>
            <w:shd w:val="clear" w:color="auto" w:fill="B8E2EE"/>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B8E2EE"/>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BDD6EE" w:themeFill="accent5" w:themeFillTint="66"/>
          </w:tcPr>
          <w:p w:rsidR="002549FD" w:rsidRPr="0040512A" w:rsidRDefault="002549FD" w:rsidP="0040512A">
            <w:pPr>
              <w:spacing w:after="0" w:line="240" w:lineRule="auto"/>
              <w:jc w:val="right"/>
              <w:rPr>
                <w:rFonts w:eastAsia="Times New Roman" w:cs="Calibri"/>
                <w:color w:val="000000"/>
              </w:rPr>
            </w:pPr>
          </w:p>
        </w:tc>
        <w:tc>
          <w:tcPr>
            <w:tcW w:w="59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10</w:t>
            </w:r>
          </w:p>
        </w:tc>
        <w:tc>
          <w:tcPr>
            <w:tcW w:w="95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285"/>
          <w:jc w:val="center"/>
        </w:trPr>
        <w:tc>
          <w:tcPr>
            <w:tcW w:w="1326" w:type="dxa"/>
            <w:vMerge/>
            <w:tcBorders>
              <w:left w:val="single" w:sz="8" w:space="0" w:color="auto"/>
              <w:bottom w:val="single" w:sz="4" w:space="0" w:color="auto"/>
              <w:right w:val="single" w:sz="4" w:space="0" w:color="auto"/>
            </w:tcBorders>
            <w:shd w:val="clear" w:color="auto" w:fill="B8E2EE"/>
            <w:hideMark/>
          </w:tcPr>
          <w:p w:rsidR="002549FD" w:rsidRPr="0040512A" w:rsidRDefault="002549FD" w:rsidP="0040512A">
            <w:pPr>
              <w:spacing w:after="0" w:line="240" w:lineRule="auto"/>
              <w:jc w:val="right"/>
              <w:rPr>
                <w:rFonts w:eastAsia="Times New Roman" w:cs="Calibri"/>
                <w:color w:val="000000"/>
              </w:rPr>
            </w:pPr>
          </w:p>
        </w:tc>
        <w:tc>
          <w:tcPr>
            <w:tcW w:w="2418" w:type="dxa"/>
            <w:tcBorders>
              <w:top w:val="single" w:sz="4" w:space="0" w:color="auto"/>
              <w:left w:val="single" w:sz="4" w:space="0" w:color="auto"/>
              <w:bottom w:val="single" w:sz="4" w:space="0" w:color="auto"/>
              <w:right w:val="single" w:sz="4" w:space="0" w:color="auto"/>
            </w:tcBorders>
            <w:shd w:val="clear" w:color="auto" w:fill="B8E2EE"/>
            <w:hideMark/>
          </w:tcPr>
          <w:p w:rsidR="002549FD" w:rsidRPr="0040512A" w:rsidRDefault="002549FD" w:rsidP="0040512A">
            <w:pPr>
              <w:spacing w:after="0" w:line="240" w:lineRule="auto"/>
              <w:rPr>
                <w:rFonts w:eastAsia="Times New Roman" w:cs="Calibri"/>
                <w:color w:val="000000"/>
              </w:rPr>
            </w:pPr>
            <w:r w:rsidRPr="0040512A">
              <w:rPr>
                <w:rFonts w:eastAsia="Times New Roman" w:cs="Calibri"/>
                <w:color w:val="000000"/>
              </w:rPr>
              <w:t>No</w:t>
            </w:r>
          </w:p>
        </w:tc>
        <w:tc>
          <w:tcPr>
            <w:tcW w:w="952" w:type="dxa"/>
            <w:tcBorders>
              <w:top w:val="single" w:sz="4" w:space="0" w:color="auto"/>
              <w:left w:val="single" w:sz="4" w:space="0" w:color="auto"/>
              <w:bottom w:val="single" w:sz="4" w:space="0" w:color="auto"/>
              <w:right w:val="single" w:sz="4" w:space="0" w:color="auto"/>
            </w:tcBorders>
            <w:shd w:val="clear" w:color="auto" w:fill="B8E2EE"/>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226" w:type="dxa"/>
            <w:tcBorders>
              <w:top w:val="single" w:sz="4" w:space="0" w:color="auto"/>
              <w:left w:val="single" w:sz="4" w:space="0" w:color="auto"/>
              <w:bottom w:val="single" w:sz="4" w:space="0" w:color="auto"/>
              <w:right w:val="single" w:sz="8" w:space="0" w:color="auto"/>
            </w:tcBorders>
            <w:shd w:val="clear" w:color="auto" w:fill="B8E2EE"/>
            <w:noWrap/>
            <w:hideMark/>
          </w:tcPr>
          <w:p w:rsidR="002549FD" w:rsidRPr="00DD7792" w:rsidRDefault="002549FD" w:rsidP="000B6146">
            <w:pPr>
              <w:spacing w:after="0" w:line="240" w:lineRule="auto"/>
              <w:jc w:val="center"/>
              <w:rPr>
                <w:rFonts w:eastAsia="Times New Roman" w:cs="Calibri"/>
                <w:color w:val="000000"/>
                <w:highlight w:val="yellow"/>
              </w:rPr>
            </w:pPr>
          </w:p>
        </w:tc>
        <w:tc>
          <w:tcPr>
            <w:tcW w:w="1198" w:type="dxa"/>
            <w:vMerge/>
            <w:tcBorders>
              <w:left w:val="single" w:sz="4" w:space="0" w:color="auto"/>
              <w:right w:val="single" w:sz="8" w:space="0" w:color="auto"/>
            </w:tcBorders>
            <w:shd w:val="clear" w:color="auto" w:fill="BDD6EE" w:themeFill="accent5" w:themeFillTint="66"/>
          </w:tcPr>
          <w:p w:rsidR="002549FD" w:rsidRPr="0040512A" w:rsidRDefault="002549FD" w:rsidP="0040512A">
            <w:pPr>
              <w:spacing w:after="0" w:line="240" w:lineRule="auto"/>
              <w:jc w:val="right"/>
              <w:rPr>
                <w:rFonts w:eastAsia="Times New Roman" w:cs="Calibri"/>
                <w:color w:val="000000"/>
              </w:rPr>
            </w:pPr>
          </w:p>
        </w:tc>
        <w:tc>
          <w:tcPr>
            <w:tcW w:w="59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40512A">
            <w:pPr>
              <w:spacing w:after="0" w:line="240" w:lineRule="auto"/>
              <w:jc w:val="right"/>
              <w:rPr>
                <w:rFonts w:eastAsia="Times New Roman" w:cs="Calibri"/>
                <w:color w:val="000000"/>
              </w:rPr>
            </w:pPr>
            <w:r w:rsidRPr="0040512A">
              <w:rPr>
                <w:rFonts w:eastAsia="Times New Roman" w:cs="Calibri"/>
                <w:color w:val="000000"/>
              </w:rPr>
              <w:t>11</w:t>
            </w:r>
          </w:p>
        </w:tc>
        <w:tc>
          <w:tcPr>
            <w:tcW w:w="952"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8" w:space="0" w:color="auto"/>
            </w:tcBorders>
            <w:shd w:val="clear" w:color="auto" w:fill="BDD6EE" w:themeFill="accent5" w:themeFillTint="66"/>
          </w:tcPr>
          <w:p w:rsidR="002549FD" w:rsidRPr="0040512A" w:rsidRDefault="002549FD" w:rsidP="000B6146">
            <w:pPr>
              <w:spacing w:after="0" w:line="240" w:lineRule="auto"/>
              <w:jc w:val="center"/>
              <w:rPr>
                <w:rFonts w:eastAsia="Times New Roman" w:cs="Calibri"/>
                <w:color w:val="000000"/>
              </w:rPr>
            </w:pPr>
          </w:p>
        </w:tc>
      </w:tr>
      <w:tr w:rsidR="002549FD" w:rsidRPr="0040512A" w:rsidTr="000B6146">
        <w:trPr>
          <w:trHeight w:val="285"/>
          <w:jc w:val="center"/>
        </w:trPr>
        <w:tc>
          <w:tcPr>
            <w:tcW w:w="5922" w:type="dxa"/>
            <w:gridSpan w:val="4"/>
            <w:tcBorders>
              <w:top w:val="single" w:sz="4" w:space="0" w:color="auto"/>
              <w:left w:val="single" w:sz="4" w:space="0" w:color="auto"/>
              <w:bottom w:val="single" w:sz="4" w:space="0" w:color="auto"/>
              <w:right w:val="single" w:sz="4" w:space="0" w:color="auto"/>
            </w:tcBorders>
            <w:hideMark/>
          </w:tcPr>
          <w:p w:rsidR="0040512A" w:rsidRDefault="002549FD" w:rsidP="001A3399">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Demographic Information was collected from the </w:t>
            </w:r>
            <w:r w:rsidR="00DD7792">
              <w:rPr>
                <w:rFonts w:ascii="Arial" w:eastAsia="Times New Roman" w:hAnsi="Arial" w:cs="Arial"/>
                <w:b/>
                <w:bCs/>
                <w:color w:val="000000"/>
                <w:sz w:val="18"/>
                <w:szCs w:val="18"/>
                <w:highlight w:val="yellow"/>
              </w:rPr>
              <w:t>______</w:t>
            </w:r>
            <w:r>
              <w:rPr>
                <w:rFonts w:ascii="Arial" w:eastAsia="Times New Roman" w:hAnsi="Arial" w:cs="Arial"/>
                <w:b/>
                <w:bCs/>
                <w:color w:val="000000"/>
                <w:sz w:val="18"/>
                <w:szCs w:val="18"/>
              </w:rPr>
              <w:t xml:space="preserve"> Youth Screened.</w:t>
            </w:r>
          </w:p>
          <w:p w:rsidR="001A3399" w:rsidRPr="0040512A" w:rsidRDefault="001A3399" w:rsidP="001A3399">
            <w:pPr>
              <w:spacing w:after="0" w:line="240" w:lineRule="auto"/>
              <w:rPr>
                <w:rFonts w:ascii="Arial" w:eastAsia="Times New Roman" w:hAnsi="Arial" w:cs="Arial"/>
                <w:b/>
                <w:bCs/>
                <w:color w:val="000000"/>
                <w:sz w:val="18"/>
                <w:szCs w:val="18"/>
              </w:rPr>
            </w:pPr>
          </w:p>
        </w:tc>
        <w:tc>
          <w:tcPr>
            <w:tcW w:w="1198" w:type="dxa"/>
            <w:vMerge/>
            <w:tcBorders>
              <w:left w:val="single" w:sz="4" w:space="0" w:color="auto"/>
              <w:bottom w:val="single" w:sz="4" w:space="0" w:color="auto"/>
              <w:right w:val="single" w:sz="8" w:space="0" w:color="auto"/>
            </w:tcBorders>
            <w:shd w:val="clear" w:color="auto" w:fill="BDD6EE" w:themeFill="accent5" w:themeFillTint="66"/>
          </w:tcPr>
          <w:p w:rsidR="0040512A" w:rsidRPr="0040512A" w:rsidRDefault="0040512A" w:rsidP="001A3399">
            <w:pPr>
              <w:spacing w:after="0" w:line="240" w:lineRule="auto"/>
              <w:jc w:val="right"/>
              <w:rPr>
                <w:rFonts w:eastAsia="Times New Roman" w:cs="Calibri"/>
                <w:color w:val="000000"/>
              </w:rPr>
            </w:pPr>
          </w:p>
        </w:tc>
        <w:tc>
          <w:tcPr>
            <w:tcW w:w="592" w:type="dxa"/>
            <w:tcBorders>
              <w:top w:val="single" w:sz="4" w:space="0" w:color="auto"/>
              <w:left w:val="single" w:sz="8" w:space="0" w:color="auto"/>
              <w:bottom w:val="single" w:sz="4" w:space="0" w:color="auto"/>
              <w:right w:val="single" w:sz="4" w:space="0" w:color="auto"/>
            </w:tcBorders>
            <w:shd w:val="clear" w:color="auto" w:fill="BDD6EE" w:themeFill="accent5" w:themeFillTint="66"/>
          </w:tcPr>
          <w:p w:rsidR="0040512A" w:rsidRPr="0040512A" w:rsidRDefault="0040512A" w:rsidP="001A3399">
            <w:pPr>
              <w:spacing w:after="0" w:line="240" w:lineRule="auto"/>
              <w:jc w:val="right"/>
              <w:rPr>
                <w:rFonts w:eastAsia="Times New Roman" w:cs="Calibri"/>
                <w:color w:val="000000"/>
              </w:rPr>
            </w:pPr>
            <w:r w:rsidRPr="0040512A">
              <w:rPr>
                <w:rFonts w:eastAsia="Times New Roman" w:cs="Calibri"/>
                <w:color w:val="000000"/>
              </w:rPr>
              <w:t>12</w:t>
            </w:r>
          </w:p>
        </w:tc>
        <w:tc>
          <w:tcPr>
            <w:tcW w:w="9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40512A" w:rsidRPr="0040512A" w:rsidRDefault="0040512A" w:rsidP="001A3399">
            <w:pPr>
              <w:spacing w:after="0" w:line="240" w:lineRule="auto"/>
              <w:jc w:val="center"/>
              <w:rPr>
                <w:rFonts w:eastAsia="Times New Roman" w:cs="Calibri"/>
                <w:color w:val="000000"/>
              </w:rPr>
            </w:pPr>
          </w:p>
        </w:tc>
        <w:tc>
          <w:tcPr>
            <w:tcW w:w="149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40512A" w:rsidRPr="0040512A" w:rsidRDefault="0040512A" w:rsidP="001A3399">
            <w:pPr>
              <w:spacing w:after="0" w:line="240" w:lineRule="auto"/>
              <w:jc w:val="center"/>
              <w:rPr>
                <w:rFonts w:eastAsia="Times New Roman" w:cs="Calibri"/>
                <w:color w:val="000000"/>
              </w:rPr>
            </w:pPr>
          </w:p>
        </w:tc>
      </w:tr>
    </w:tbl>
    <w:p w:rsidR="001A3399" w:rsidRPr="001A3399" w:rsidRDefault="001A3399" w:rsidP="001A3399">
      <w:pPr>
        <w:spacing w:after="0"/>
        <w:jc w:val="center"/>
        <w:rPr>
          <w:rFonts w:ascii="Arial Black" w:hAnsi="Arial Black"/>
          <w:color w:val="2E74B5" w:themeColor="accent5" w:themeShade="BF"/>
          <w:sz w:val="16"/>
          <w:szCs w:val="16"/>
        </w:rPr>
      </w:pPr>
    </w:p>
    <w:p w:rsidR="001A3399" w:rsidRDefault="001A3399" w:rsidP="001A3399">
      <w:pPr>
        <w:spacing w:after="0"/>
        <w:jc w:val="center"/>
        <w:rPr>
          <w:rFonts w:ascii="Arial Black" w:hAnsi="Arial Black"/>
          <w:color w:val="2E74B5" w:themeColor="accent5" w:themeShade="BF"/>
          <w:sz w:val="32"/>
          <w:szCs w:val="32"/>
        </w:rPr>
      </w:pPr>
      <w:r>
        <w:rPr>
          <w:rFonts w:ascii="Arial Black" w:hAnsi="Arial Black"/>
          <w:color w:val="2E74B5" w:themeColor="accent5" w:themeShade="BF"/>
          <w:sz w:val="32"/>
          <w:szCs w:val="32"/>
        </w:rPr>
        <w:t>Model Fidelity</w:t>
      </w:r>
    </w:p>
    <w:p w:rsidR="001A3399" w:rsidRPr="001A3399" w:rsidRDefault="00266BE8" w:rsidP="001A3399">
      <w:pPr>
        <w:spacing w:after="0"/>
        <w:rPr>
          <w:rFonts w:ascii="Garamond" w:hAnsi="Garamond"/>
          <w:b/>
          <w:sz w:val="32"/>
        </w:rPr>
      </w:pPr>
      <w:r w:rsidRPr="00E93116">
        <w:rPr>
          <w:rFonts w:ascii="Garamond" w:hAnsi="Garamond"/>
          <w:noProof/>
        </w:rPr>
        <mc:AlternateContent>
          <mc:Choice Requires="wps">
            <w:drawing>
              <wp:anchor distT="0" distB="0" distL="114300" distR="114300" simplePos="0" relativeHeight="251662336" behindDoc="0" locked="0" layoutInCell="1" allowOverlap="1" wp14:anchorId="4B87C58C" wp14:editId="32B27057">
                <wp:simplePos x="0" y="0"/>
                <wp:positionH relativeFrom="margin">
                  <wp:posOffset>3470744</wp:posOffset>
                </wp:positionH>
                <wp:positionV relativeFrom="paragraph">
                  <wp:posOffset>25372</wp:posOffset>
                </wp:positionV>
                <wp:extent cx="3359509" cy="1629852"/>
                <wp:effectExtent l="19050" t="19050" r="1270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509" cy="1629852"/>
                        </a:xfrm>
                        <a:prstGeom prst="rect">
                          <a:avLst/>
                        </a:prstGeom>
                        <a:solidFill>
                          <a:schemeClr val="accent4">
                            <a:lumMod val="20000"/>
                            <a:lumOff val="80000"/>
                          </a:schemeClr>
                        </a:solidFill>
                        <a:ln w="28575">
                          <a:gradFill>
                            <a:gsLst>
                              <a:gs pos="0">
                                <a:schemeClr val="accent5">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wps:spPr>
                      <wps:txbx>
                        <w:txbxContent>
                          <w:p w:rsidR="00266BE8" w:rsidRPr="001A3399" w:rsidRDefault="00266BE8" w:rsidP="00266BE8">
                            <w:pPr>
                              <w:jc w:val="center"/>
                              <w:rPr>
                                <w:rFonts w:ascii="Garamond" w:hAnsi="Garamond"/>
                                <w:sz w:val="25"/>
                                <w:szCs w:val="25"/>
                              </w:rPr>
                            </w:pPr>
                            <w:r w:rsidRPr="001A3399">
                              <w:rPr>
                                <w:rFonts w:ascii="Garamond" w:hAnsi="Garamond"/>
                                <w:b/>
                                <w:sz w:val="25"/>
                                <w:szCs w:val="25"/>
                              </w:rPr>
                              <w:t>Why is Model Fidelity important?</w:t>
                            </w:r>
                            <w:r w:rsidRPr="001A3399">
                              <w:rPr>
                                <w:rFonts w:ascii="Garamond" w:hAnsi="Garamond"/>
                                <w:sz w:val="25"/>
                                <w:szCs w:val="25"/>
                              </w:rPr>
                              <w:t xml:space="preserve">  Evidence-based programs are proven to get high quality outcomes for youth, families, and communities.  However, these programs only predictably produce quality outcomes when they are implemented as they were designed by the researchers who developed them, with fidelity to the model.</w:t>
                            </w:r>
                            <w:r w:rsidRPr="001A3399">
                              <w:rPr>
                                <w:rFonts w:ascii="Garamond" w:hAnsi="Garamond"/>
                                <w:b/>
                                <w:sz w:val="25"/>
                                <w:szCs w:val="2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C58C" id="Text Box 2" o:spid="_x0000_s1031" type="#_x0000_t202" style="position:absolute;margin-left:273.3pt;margin-top:2pt;width:264.55pt;height:12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" fillcolor="#fff2cc [663]" strokeweight="2.25pt">
                <v:textbox>
                  <w:txbxContent>
                    <w:p w:rsidR="00266BE8" w:rsidRPr="001A3399" w:rsidRDefault="00266BE8" w:rsidP="00266BE8">
                      <w:pPr>
                        <w:jc w:val="center"/>
                        <w:rPr>
                          <w:rFonts w:ascii="Garamond" w:hAnsi="Garamond"/>
                          <w:sz w:val="25"/>
                          <w:szCs w:val="25"/>
                        </w:rPr>
                      </w:pPr>
                      <w:r w:rsidRPr="001A3399">
                        <w:rPr>
                          <w:rFonts w:ascii="Garamond" w:hAnsi="Garamond"/>
                          <w:b/>
                          <w:sz w:val="25"/>
                          <w:szCs w:val="25"/>
                        </w:rPr>
                        <w:t>Why is Model Fidelity important?</w:t>
                      </w:r>
                      <w:r w:rsidRPr="001A3399">
                        <w:rPr>
                          <w:rFonts w:ascii="Garamond" w:hAnsi="Garamond"/>
                          <w:sz w:val="25"/>
                          <w:szCs w:val="25"/>
                        </w:rPr>
                        <w:t xml:space="preserve">  </w:t>
                      </w:r>
                      <w:r w:rsidRPr="001A3399">
                        <w:rPr>
                          <w:rFonts w:ascii="Garamond" w:hAnsi="Garamond"/>
                          <w:sz w:val="25"/>
                          <w:szCs w:val="25"/>
                        </w:rPr>
                        <w:t>Evidence-based programs are proven to get high quality outcomes for youth, families, and communities.  However, these programs only predictably produce quality outcomes when they are implemented as they were designed by the researchers who developed them, with fidelity to the model.</w:t>
                      </w:r>
                      <w:r w:rsidRPr="001A3399">
                        <w:rPr>
                          <w:rFonts w:ascii="Garamond" w:hAnsi="Garamond"/>
                          <w:b/>
                          <w:sz w:val="25"/>
                          <w:szCs w:val="25"/>
                        </w:rPr>
                        <w:t xml:space="preserve"> </w:t>
                      </w:r>
                    </w:p>
                  </w:txbxContent>
                </v:textbox>
                <w10:wrap anchorx="margin"/>
              </v:shape>
            </w:pict>
          </mc:Fallback>
        </mc:AlternateContent>
      </w:r>
      <w:r w:rsidRPr="00E93116">
        <w:rPr>
          <w:rFonts w:ascii="Garamond" w:hAnsi="Garamond"/>
          <w:noProof/>
        </w:rPr>
        <w:drawing>
          <wp:inline distT="0" distB="0" distL="0" distR="0" wp14:anchorId="028C8357" wp14:editId="639749E4">
            <wp:extent cx="3331210" cy="1630017"/>
            <wp:effectExtent l="0" t="0" r="254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sectPr w:rsidR="001A3399" w:rsidRPr="001A3399" w:rsidSect="00860C8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76" w:rsidRDefault="00971C76" w:rsidP="00D960F8">
      <w:pPr>
        <w:spacing w:after="0" w:line="240" w:lineRule="auto"/>
      </w:pPr>
      <w:r>
        <w:separator/>
      </w:r>
    </w:p>
  </w:endnote>
  <w:endnote w:type="continuationSeparator" w:id="0">
    <w:p w:rsidR="00971C76" w:rsidRDefault="00971C76" w:rsidP="00D96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F8" w:rsidRDefault="00D960F8" w:rsidP="00D96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76" w:rsidRDefault="00971C76" w:rsidP="00D960F8">
      <w:pPr>
        <w:spacing w:after="0" w:line="240" w:lineRule="auto"/>
      </w:pPr>
      <w:r>
        <w:separator/>
      </w:r>
    </w:p>
  </w:footnote>
  <w:footnote w:type="continuationSeparator" w:id="0">
    <w:p w:rsidR="00971C76" w:rsidRDefault="00971C76" w:rsidP="00D96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0461C"/>
    <w:multiLevelType w:val="hybridMultilevel"/>
    <w:tmpl w:val="8BE4222E"/>
    <w:lvl w:ilvl="0" w:tplc="DF90335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81"/>
    <w:rsid w:val="00014662"/>
    <w:rsid w:val="000B6146"/>
    <w:rsid w:val="001A3399"/>
    <w:rsid w:val="002352DE"/>
    <w:rsid w:val="002549FD"/>
    <w:rsid w:val="00266BE8"/>
    <w:rsid w:val="003B405C"/>
    <w:rsid w:val="0040512A"/>
    <w:rsid w:val="004C1AAF"/>
    <w:rsid w:val="007E5172"/>
    <w:rsid w:val="00860C81"/>
    <w:rsid w:val="008A6D7A"/>
    <w:rsid w:val="00971C76"/>
    <w:rsid w:val="009D4AE3"/>
    <w:rsid w:val="00C261EF"/>
    <w:rsid w:val="00D960F8"/>
    <w:rsid w:val="00DD7792"/>
    <w:rsid w:val="00F14996"/>
    <w:rsid w:val="00F8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47E0"/>
  <w15:chartTrackingRefBased/>
  <w15:docId w15:val="{2B699549-6EE6-4F91-8E0B-BFED5EC1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C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0C81"/>
    <w:pPr>
      <w:spacing w:after="0" w:line="240" w:lineRule="auto"/>
    </w:pPr>
    <w:rPr>
      <w:rFonts w:eastAsiaTheme="minorEastAsia"/>
    </w:rPr>
  </w:style>
  <w:style w:type="character" w:customStyle="1" w:styleId="NoSpacingChar">
    <w:name w:val="No Spacing Char"/>
    <w:basedOn w:val="DefaultParagraphFont"/>
    <w:link w:val="NoSpacing"/>
    <w:uiPriority w:val="1"/>
    <w:rsid w:val="00860C81"/>
    <w:rPr>
      <w:rFonts w:eastAsiaTheme="minorEastAsia"/>
    </w:rPr>
  </w:style>
  <w:style w:type="paragraph" w:styleId="ListParagraph">
    <w:name w:val="List Paragraph"/>
    <w:basedOn w:val="Normal"/>
    <w:uiPriority w:val="34"/>
    <w:qFormat/>
    <w:rsid w:val="00860C81"/>
    <w:pPr>
      <w:ind w:left="720"/>
      <w:contextualSpacing/>
    </w:pPr>
  </w:style>
  <w:style w:type="paragraph" w:styleId="Header">
    <w:name w:val="header"/>
    <w:basedOn w:val="Normal"/>
    <w:link w:val="HeaderChar"/>
    <w:uiPriority w:val="99"/>
    <w:unhideWhenUsed/>
    <w:rsid w:val="00D96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0F8"/>
    <w:rPr>
      <w:rFonts w:ascii="Calibri" w:eastAsia="Calibri" w:hAnsi="Calibri" w:cs="Times New Roman"/>
    </w:rPr>
  </w:style>
  <w:style w:type="paragraph" w:styleId="Footer">
    <w:name w:val="footer"/>
    <w:basedOn w:val="Normal"/>
    <w:link w:val="FooterChar"/>
    <w:uiPriority w:val="99"/>
    <w:unhideWhenUsed/>
    <w:rsid w:val="00D96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0F8"/>
    <w:rPr>
      <w:rFonts w:ascii="Calibri" w:eastAsia="Calibri" w:hAnsi="Calibri" w:cs="Times New Roman"/>
    </w:rPr>
  </w:style>
  <w:style w:type="character" w:styleId="CommentReference">
    <w:name w:val="annotation reference"/>
    <w:basedOn w:val="DefaultParagraphFont"/>
    <w:uiPriority w:val="99"/>
    <w:semiHidden/>
    <w:unhideWhenUsed/>
    <w:rsid w:val="0040512A"/>
    <w:rPr>
      <w:sz w:val="16"/>
      <w:szCs w:val="16"/>
    </w:rPr>
  </w:style>
  <w:style w:type="paragraph" w:styleId="CommentText">
    <w:name w:val="annotation text"/>
    <w:basedOn w:val="Normal"/>
    <w:link w:val="CommentTextChar"/>
    <w:uiPriority w:val="99"/>
    <w:semiHidden/>
    <w:unhideWhenUsed/>
    <w:rsid w:val="0040512A"/>
    <w:pPr>
      <w:spacing w:line="240" w:lineRule="auto"/>
    </w:pPr>
    <w:rPr>
      <w:sz w:val="20"/>
      <w:szCs w:val="20"/>
    </w:rPr>
  </w:style>
  <w:style w:type="character" w:customStyle="1" w:styleId="CommentTextChar">
    <w:name w:val="Comment Text Char"/>
    <w:basedOn w:val="DefaultParagraphFont"/>
    <w:link w:val="CommentText"/>
    <w:uiPriority w:val="99"/>
    <w:semiHidden/>
    <w:rsid w:val="0040512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0512A"/>
    <w:rPr>
      <w:b/>
      <w:bCs/>
    </w:rPr>
  </w:style>
  <w:style w:type="character" w:customStyle="1" w:styleId="CommentSubjectChar">
    <w:name w:val="Comment Subject Char"/>
    <w:basedOn w:val="CommentTextChar"/>
    <w:link w:val="CommentSubject"/>
    <w:uiPriority w:val="99"/>
    <w:semiHidden/>
    <w:rsid w:val="0040512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05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1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Youth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Number of Youth Screened</c:v>
                </c:pt>
                <c:pt idx="1">
                  <c:v>Number of Youth who Participated in Program</c:v>
                </c:pt>
                <c:pt idx="2">
                  <c:v>Number of Youth who Completed the Program</c:v>
                </c:pt>
              </c:strCache>
            </c:strRef>
          </c:cat>
          <c:val>
            <c:numRef>
              <c:f>Sheet1!$B$2:$B$4</c:f>
              <c:numCache>
                <c:formatCode>General</c:formatCode>
                <c:ptCount val="3"/>
                <c:pt idx="0">
                  <c:v>15</c:v>
                </c:pt>
                <c:pt idx="1">
                  <c:v>11</c:v>
                </c:pt>
                <c:pt idx="2">
                  <c:v>8</c:v>
                </c:pt>
              </c:numCache>
            </c:numRef>
          </c:val>
          <c:extLst>
            <c:ext xmlns:c16="http://schemas.microsoft.com/office/drawing/2014/chart" uri="{C3380CC4-5D6E-409C-BE32-E72D297353CC}">
              <c16:uniqueId val="{00000000-7E76-4EE1-AAB9-49A95BF12691}"/>
            </c:ext>
          </c:extLst>
        </c:ser>
        <c:dLbls>
          <c:showLegendKey val="0"/>
          <c:showVal val="0"/>
          <c:showCatName val="0"/>
          <c:showSerName val="0"/>
          <c:showPercent val="0"/>
          <c:showBubbleSize val="0"/>
        </c:dLbls>
        <c:gapWidth val="219"/>
        <c:overlap val="-27"/>
        <c:axId val="544334224"/>
        <c:axId val="544333896"/>
      </c:barChart>
      <c:catAx>
        <c:axId val="54433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333896"/>
        <c:crosses val="autoZero"/>
        <c:auto val="1"/>
        <c:lblAlgn val="ctr"/>
        <c:lblOffset val="100"/>
        <c:noMultiLvlLbl val="0"/>
      </c:catAx>
      <c:valAx>
        <c:axId val="544333896"/>
        <c:scaling>
          <c:orientation val="minMax"/>
          <c:max val="1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33422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Youth Screened</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Number of Youth Referred to the Blues Program</c:v>
                </c:pt>
                <c:pt idx="1">
                  <c:v>Number of Youth Referred for Clinical Treatment</c:v>
                </c:pt>
                <c:pt idx="2">
                  <c:v>Number of Youth Screened</c:v>
                </c:pt>
              </c:strCache>
            </c:strRef>
          </c:cat>
          <c:val>
            <c:numRef>
              <c:f>Sheet1!$B$2:$B$4</c:f>
              <c:numCache>
                <c:formatCode>General</c:formatCode>
                <c:ptCount val="3"/>
                <c:pt idx="0">
                  <c:v>12</c:v>
                </c:pt>
                <c:pt idx="1">
                  <c:v>2</c:v>
                </c:pt>
                <c:pt idx="2">
                  <c:v>15</c:v>
                </c:pt>
              </c:numCache>
            </c:numRef>
          </c:val>
          <c:extLst>
            <c:ext xmlns:c16="http://schemas.microsoft.com/office/drawing/2014/chart" uri="{C3380CC4-5D6E-409C-BE32-E72D297353CC}">
              <c16:uniqueId val="{00000000-B3BA-436B-90D2-E0891AADB312}"/>
            </c:ext>
          </c:extLst>
        </c:ser>
        <c:dLbls>
          <c:showLegendKey val="0"/>
          <c:showVal val="0"/>
          <c:showCatName val="0"/>
          <c:showSerName val="0"/>
          <c:showPercent val="0"/>
          <c:showBubbleSize val="0"/>
        </c:dLbls>
        <c:gapWidth val="150"/>
        <c:axId val="649923872"/>
        <c:axId val="649921904"/>
      </c:barChart>
      <c:valAx>
        <c:axId val="649921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923872"/>
        <c:crosses val="autoZero"/>
        <c:crossBetween val="between"/>
      </c:valAx>
      <c:catAx>
        <c:axId val="6499238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9219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Blues Program Outcomes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Percentages of Youth</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tx>
                <c:rich>
                  <a:bodyPr/>
                  <a:lstStyle/>
                  <a:p>
                    <a:fld id="{31215CF0-7F2D-441A-BB96-D1F5ED7022E3}"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51-4A7D-BAE7-EF76D575113A}"/>
                </c:ext>
              </c:extLst>
            </c:dLbl>
            <c:dLbl>
              <c:idx val="1"/>
              <c:tx>
                <c:rich>
                  <a:bodyPr/>
                  <a:lstStyle/>
                  <a:p>
                    <a:fld id="{420707AD-C27E-4905-898C-C131B6F60BAD}"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E51-4A7D-BAE7-EF76D575113A}"/>
                </c:ext>
              </c:extLst>
            </c:dLbl>
            <c:dLbl>
              <c:idx val="2"/>
              <c:tx>
                <c:rich>
                  <a:bodyPr/>
                  <a:lstStyle/>
                  <a:p>
                    <a:r>
                      <a:rPr lang="en-US"/>
                      <a:t>50%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51-4A7D-BAE7-EF76D575113A}"/>
                </c:ext>
              </c:extLst>
            </c:dLbl>
            <c:dLbl>
              <c:idx val="3"/>
              <c:tx>
                <c:rich>
                  <a:bodyPr/>
                  <a:lstStyle/>
                  <a:p>
                    <a:r>
                      <a:rPr lang="en-US"/>
                      <a:t>87%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51-4A7D-BAE7-EF76D575113A}"/>
                </c:ext>
              </c:extLst>
            </c:dLbl>
            <c:dLbl>
              <c:idx val="4"/>
              <c:tx>
                <c:rich>
                  <a:bodyPr/>
                  <a:lstStyle/>
                  <a:p>
                    <a:r>
                      <a:rPr lang="en-US"/>
                      <a:t>90%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51-4A7D-BAE7-EF76D575113A}"/>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Improved overall CES-D score</c:v>
                </c:pt>
                <c:pt idx="1">
                  <c:v>Improved Depressed Affect score based on CES-D</c:v>
                </c:pt>
                <c:pt idx="2">
                  <c:v>Improved Positive Affect score based on CES-D</c:v>
                </c:pt>
                <c:pt idx="3">
                  <c:v>Improved Somatic Complaints score based on CES-D</c:v>
                </c:pt>
                <c:pt idx="4">
                  <c:v>Improved Interpersonal Problems score based on CES-D</c:v>
                </c:pt>
              </c:strCache>
            </c:strRef>
          </c:cat>
          <c:val>
            <c:numRef>
              <c:f>Sheet1!$B$2:$B$6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EE51-4A7D-BAE7-EF76D575113A}"/>
            </c:ext>
          </c:extLst>
        </c:ser>
        <c:dLbls>
          <c:showLegendKey val="0"/>
          <c:showVal val="0"/>
          <c:showCatName val="0"/>
          <c:showSerName val="0"/>
          <c:showPercent val="0"/>
          <c:showBubbleSize val="0"/>
        </c:dLbls>
        <c:gapWidth val="150"/>
        <c:axId val="647128488"/>
        <c:axId val="647129144"/>
      </c:barChart>
      <c:catAx>
        <c:axId val="647128488"/>
        <c:scaling>
          <c:orientation val="minMax"/>
        </c:scaling>
        <c:delete val="0"/>
        <c:axPos val="b"/>
        <c:numFmt formatCode="@" sourceLinked="0"/>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47129144"/>
        <c:crosses val="autoZero"/>
        <c:auto val="0"/>
        <c:lblAlgn val="ctr"/>
        <c:lblOffset val="100"/>
        <c:tickLblSkip val="1"/>
        <c:tickMarkSkip val="100"/>
        <c:noMultiLvlLbl val="0"/>
      </c:catAx>
      <c:valAx>
        <c:axId val="64712914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47128488"/>
        <c:crossesAt val="100"/>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en-US" sz="1050"/>
              <a:t>Sessions Observed: 17</a:t>
            </a:r>
          </a:p>
        </c:rich>
      </c:tx>
      <c:layout>
        <c:manualLayout>
          <c:xMode val="edge"/>
          <c:yMode val="edge"/>
          <c:x val="0.5141378057822833"/>
          <c:y val="0.10668534221683829"/>
        </c:manualLayout>
      </c:layout>
      <c:overlay val="0"/>
    </c:title>
    <c:autoTitleDeleted val="0"/>
    <c:plotArea>
      <c:layout>
        <c:manualLayout>
          <c:layoutTarget val="inner"/>
          <c:xMode val="edge"/>
          <c:yMode val="edge"/>
          <c:x val="0.14413471381269868"/>
          <c:y val="0.17724921958719658"/>
          <c:w val="0.38919881964811587"/>
          <c:h val="0.75508025439127802"/>
        </c:manualLayout>
      </c:layout>
      <c:pieChart>
        <c:varyColors val="1"/>
        <c:ser>
          <c:idx val="0"/>
          <c:order val="0"/>
          <c:tx>
            <c:strRef>
              <c:f>Sheet1!$B$1</c:f>
              <c:strCache>
                <c:ptCount val="1"/>
                <c:pt idx="0">
                  <c:v>Sessions Observed: 17</c:v>
                </c:pt>
              </c:strCache>
            </c:strRef>
          </c:tx>
          <c:spPr>
            <a:solidFill>
              <a:srgbClr val="5B9BD5">
                <a:lumMod val="60000"/>
                <a:lumOff val="40000"/>
              </a:srgbClr>
            </a:solidFill>
          </c:spPr>
          <c:dPt>
            <c:idx val="0"/>
            <c:bubble3D val="0"/>
            <c:extLst>
              <c:ext xmlns:c16="http://schemas.microsoft.com/office/drawing/2014/chart" uri="{C3380CC4-5D6E-409C-BE32-E72D297353CC}">
                <c16:uniqueId val="{00000000-1606-493A-804B-B518FFE054C9}"/>
              </c:ext>
            </c:extLst>
          </c:dPt>
          <c:dPt>
            <c:idx val="1"/>
            <c:bubble3D val="0"/>
            <c:extLst>
              <c:ext xmlns:c16="http://schemas.microsoft.com/office/drawing/2014/chart" uri="{C3380CC4-5D6E-409C-BE32-E72D297353CC}">
                <c16:uniqueId val="{00000002-1606-493A-804B-B518FFE054C9}"/>
              </c:ext>
            </c:extLst>
          </c:dPt>
          <c:dLbls>
            <c:dLbl>
              <c:idx val="0"/>
              <c:layout>
                <c:manualLayout>
                  <c:x val="-7.4300801420590314E-4"/>
                  <c:y val="-0.3561876303923547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606-493A-804B-B518FFE054C9}"/>
                </c:ext>
              </c:extLst>
            </c:dLbl>
            <c:spPr>
              <a:noFill/>
              <a:ln>
                <a:noFill/>
              </a:ln>
              <a:effectLst/>
            </c:spPr>
            <c:txPr>
              <a:bodyPr wrap="square" lIns="38100" tIns="19050" rIns="38100" bIns="19050" anchor="ctr">
                <a:spAutoFit/>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100% Met Minimum Fidelity</c:v>
                </c:pt>
                <c:pt idx="1">
                  <c:v>0% Needing improvement</c:v>
                </c:pt>
              </c:strCache>
            </c:strRef>
          </c:cat>
          <c:val>
            <c:numRef>
              <c:f>Sheet1!$B$2:$B$3</c:f>
              <c:numCache>
                <c:formatCode>General</c:formatCode>
                <c:ptCount val="2"/>
              </c:numCache>
            </c:numRef>
          </c:val>
          <c:extLst>
            <c:ext xmlns:c16="http://schemas.microsoft.com/office/drawing/2014/chart" uri="{C3380CC4-5D6E-409C-BE32-E72D297353CC}">
              <c16:uniqueId val="{00000003-1606-493A-804B-B518FFE054C9}"/>
            </c:ext>
          </c:extLst>
        </c:ser>
        <c:ser>
          <c:idx val="1"/>
          <c:order val="1"/>
          <c:tx>
            <c:strRef>
              <c:f>Sheet1!$C$1</c:f>
              <c:strCache>
                <c:ptCount val="1"/>
                <c:pt idx="0">
                  <c:v>Note to Grantee: Change "ZZ" to reflect number of session observations you completed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100% Met Minimum Fidelity</c:v>
                </c:pt>
                <c:pt idx="1">
                  <c:v>0% Needing improvement</c:v>
                </c:pt>
              </c:strCache>
            </c:strRef>
          </c:cat>
          <c:val>
            <c:numRef>
              <c:f>Sheet1!$C$2:$C$3</c:f>
              <c:numCache>
                <c:formatCode>General</c:formatCode>
                <c:ptCount val="2"/>
              </c:numCache>
            </c:numRef>
          </c:val>
          <c:extLst>
            <c:ext xmlns:c16="http://schemas.microsoft.com/office/drawing/2014/chart" uri="{C3380CC4-5D6E-409C-BE32-E72D297353CC}">
              <c16:uniqueId val="{00000004-1606-493A-804B-B518FFE054C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6800953293301248"/>
          <c:y val="0.34178989164815937"/>
          <c:w val="0.34204984094302698"/>
          <c:h val="0.60401846320934027"/>
        </c:manualLayout>
      </c:layout>
      <c:overlay val="0"/>
      <c:txPr>
        <a:bodyPr/>
        <a:lstStyle/>
        <a:p>
          <a:pPr>
            <a:defRPr b="1"/>
          </a:pPr>
          <a:endParaRPr lang="en-US"/>
        </a:p>
      </c:txPr>
    </c:legend>
    <c:plotVisOnly val="1"/>
    <c:dispBlanksAs val="gap"/>
    <c:showDLblsOverMax val="0"/>
  </c:chart>
  <c:spPr>
    <a:ln>
      <a:solidFill>
        <a:srgbClr val="4472C4"/>
      </a:solidFill>
    </a:ln>
  </c:spPr>
  <c:txPr>
    <a:bodyPr/>
    <a:lstStyle/>
    <a:p>
      <a:pPr>
        <a:defRPr>
          <a:latin typeface="Garamond"/>
          <a:cs typeface="Garamond"/>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Jordan L</dc:creator>
  <cp:keywords/>
  <dc:description/>
  <cp:lastModifiedBy>Wells, Nicole</cp:lastModifiedBy>
  <cp:revision>2</cp:revision>
  <dcterms:created xsi:type="dcterms:W3CDTF">2021-04-26T15:55:00Z</dcterms:created>
  <dcterms:modified xsi:type="dcterms:W3CDTF">2021-04-26T15:55:00Z</dcterms:modified>
</cp:coreProperties>
</file>